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left w:w="115" w:type="dxa"/>
          <w:right w:w="115" w:type="dxa"/>
        </w:tblCellMar>
        <w:tblLook w:val="04A0" w:firstRow="1" w:lastRow="0" w:firstColumn="1" w:lastColumn="0" w:noHBand="0" w:noVBand="1"/>
      </w:tblPr>
      <w:tblGrid>
        <w:gridCol w:w="3432"/>
        <w:gridCol w:w="3433"/>
        <w:gridCol w:w="3433"/>
      </w:tblGrid>
      <w:tr w:rsidR="00670853" w:rsidRPr="00D251D1" w:rsidTr="00540A59">
        <w:trPr>
          <w:cantSplit/>
          <w:tblHeader/>
        </w:trPr>
        <w:tc>
          <w:tcPr>
            <w:tcW w:w="10298" w:type="dxa"/>
            <w:gridSpan w:val="3"/>
            <w:shd w:val="clear" w:color="auto" w:fill="003366"/>
          </w:tcPr>
          <w:p w:rsidR="00670853" w:rsidRPr="00D251D1" w:rsidRDefault="00670853" w:rsidP="00645F3D">
            <w:pPr>
              <w:pStyle w:val="TableHeader"/>
            </w:pPr>
            <w:bookmarkStart w:id="0" w:name="_GoBack"/>
            <w:bookmarkEnd w:id="0"/>
            <w:r w:rsidRPr="00540A59">
              <w:rPr>
                <w:rStyle w:val="Strong"/>
                <w:b/>
                <w:bCs/>
                <w:color w:val="FFFFFF" w:themeColor="background1"/>
              </w:rPr>
              <w:t>Summary of Time</w:t>
            </w:r>
            <w:r w:rsidR="00645F3D" w:rsidRPr="00540A59">
              <w:rPr>
                <w:rStyle w:val="Strong"/>
                <w:b/>
                <w:bCs/>
                <w:color w:val="FFFFFF" w:themeColor="background1"/>
              </w:rPr>
              <w:t xml:space="preserve"> F</w:t>
            </w:r>
            <w:r w:rsidRPr="00540A59">
              <w:rPr>
                <w:rStyle w:val="Strong"/>
                <w:b/>
                <w:bCs/>
                <w:color w:val="FFFFFF" w:themeColor="background1"/>
              </w:rPr>
              <w:t>rames Comparing “Enhanced” with “Fast Track”</w:t>
            </w:r>
          </w:p>
        </w:tc>
      </w:tr>
      <w:tr w:rsidR="009B284C" w:rsidRPr="009B284C" w:rsidTr="009B284C">
        <w:trPr>
          <w:cantSplit/>
        </w:trPr>
        <w:tc>
          <w:tcPr>
            <w:tcW w:w="3432" w:type="dxa"/>
            <w:shd w:val="clear" w:color="auto" w:fill="FF0000"/>
            <w:vAlign w:val="center"/>
          </w:tcPr>
          <w:p w:rsidR="00670853" w:rsidRPr="009B284C" w:rsidRDefault="00540A59" w:rsidP="00540A59">
            <w:pPr>
              <w:pStyle w:val="PlainText"/>
              <w:jc w:val="center"/>
              <w:rPr>
                <w:rFonts w:asciiTheme="majorHAnsi" w:hAnsiTheme="majorHAnsi"/>
                <w:b/>
                <w:color w:val="FFFFFF" w:themeColor="background1"/>
                <w:sz w:val="22"/>
                <w:szCs w:val="22"/>
              </w:rPr>
            </w:pPr>
            <w:r w:rsidRPr="009B284C">
              <w:rPr>
                <w:rFonts w:asciiTheme="majorHAnsi" w:hAnsiTheme="majorHAnsi"/>
                <w:b/>
                <w:color w:val="FFFFFF" w:themeColor="background1"/>
                <w:sz w:val="22"/>
                <w:szCs w:val="22"/>
              </w:rPr>
              <w:t>ACTIONS TO BE COMPLETED</w:t>
            </w:r>
          </w:p>
        </w:tc>
        <w:tc>
          <w:tcPr>
            <w:tcW w:w="3433" w:type="dxa"/>
            <w:shd w:val="clear" w:color="auto" w:fill="FF0000"/>
          </w:tcPr>
          <w:p w:rsidR="00670853" w:rsidRPr="009B284C" w:rsidRDefault="00670853" w:rsidP="00BB4726">
            <w:pPr>
              <w:pStyle w:val="TableBoxHeader"/>
              <w:rPr>
                <w:b/>
                <w:color w:val="FFFFFF" w:themeColor="background1"/>
              </w:rPr>
            </w:pPr>
            <w:r w:rsidRPr="009B284C">
              <w:rPr>
                <w:b/>
                <w:color w:val="FFFFFF" w:themeColor="background1"/>
              </w:rPr>
              <w:t>ENHANCED</w:t>
            </w:r>
          </w:p>
        </w:tc>
        <w:tc>
          <w:tcPr>
            <w:tcW w:w="3433" w:type="dxa"/>
            <w:shd w:val="clear" w:color="auto" w:fill="FF0000"/>
          </w:tcPr>
          <w:p w:rsidR="00670853" w:rsidRPr="009B284C" w:rsidRDefault="00670853" w:rsidP="00E61A72">
            <w:pPr>
              <w:spacing w:before="120" w:after="120"/>
              <w:jc w:val="center"/>
              <w:rPr>
                <w:b/>
                <w:color w:val="FFFFFF" w:themeColor="background1"/>
              </w:rPr>
            </w:pPr>
            <w:r w:rsidRPr="009B284C">
              <w:rPr>
                <w:b/>
                <w:color w:val="FFFFFF" w:themeColor="background1"/>
              </w:rPr>
              <w:t>FAST TRACK</w:t>
            </w:r>
          </w:p>
        </w:tc>
      </w:tr>
      <w:tr w:rsidR="00670853" w:rsidRPr="00D251D1" w:rsidTr="009B284C">
        <w:trPr>
          <w:cantSplit/>
        </w:trPr>
        <w:tc>
          <w:tcPr>
            <w:tcW w:w="3432" w:type="dxa"/>
            <w:shd w:val="clear" w:color="auto" w:fill="D9D9D9" w:themeFill="background1" w:themeFillShade="D9"/>
          </w:tcPr>
          <w:p w:rsidR="00670853" w:rsidRPr="00E61A72" w:rsidRDefault="00670853" w:rsidP="00E61A72">
            <w:pPr>
              <w:pStyle w:val="TableBoldText"/>
            </w:pPr>
            <w:r w:rsidRPr="00E61A72">
              <w:t xml:space="preserve">Grievance Committee Review </w:t>
            </w:r>
            <w:r w:rsidR="00BB4726">
              <w:br/>
            </w:r>
            <w:r w:rsidRPr="00E61A72">
              <w:t>of Complaints</w:t>
            </w:r>
          </w:p>
        </w:tc>
        <w:tc>
          <w:tcPr>
            <w:tcW w:w="3433" w:type="dxa"/>
            <w:shd w:val="clear" w:color="auto" w:fill="D9D9D9" w:themeFill="background1" w:themeFillShade="D9"/>
          </w:tcPr>
          <w:p w:rsidR="00670853" w:rsidRPr="00D251D1" w:rsidRDefault="00670853" w:rsidP="00BB4726">
            <w:pPr>
              <w:pStyle w:val="TableTextRegular"/>
            </w:pPr>
            <w:r w:rsidRPr="00D251D1">
              <w:t>Grievance Committee shall have regularly scheduled meetings, and/or review complaints not later than 45 days after receipt of the complaint</w:t>
            </w:r>
          </w:p>
        </w:tc>
        <w:tc>
          <w:tcPr>
            <w:tcW w:w="3433" w:type="dxa"/>
            <w:shd w:val="clear" w:color="auto" w:fill="D9D9D9" w:themeFill="background1" w:themeFillShade="D9"/>
          </w:tcPr>
          <w:p w:rsidR="00670853" w:rsidRPr="00D251D1" w:rsidRDefault="00670853" w:rsidP="00BB4726">
            <w:pPr>
              <w:pStyle w:val="TableTextRegular"/>
            </w:pPr>
            <w:r w:rsidRPr="00D251D1">
              <w:t>Within 10 days of receipt of</w:t>
            </w:r>
            <w:r>
              <w:t xml:space="preserve"> </w:t>
            </w:r>
            <w:r w:rsidRPr="00D251D1">
              <w:t>the complaint</w:t>
            </w:r>
          </w:p>
        </w:tc>
      </w:tr>
      <w:tr w:rsidR="00670853" w:rsidRPr="00D251D1" w:rsidTr="009B284C">
        <w:trPr>
          <w:cantSplit/>
        </w:trPr>
        <w:tc>
          <w:tcPr>
            <w:tcW w:w="3432" w:type="dxa"/>
            <w:shd w:val="clear" w:color="auto" w:fill="B8CCE4" w:themeFill="accent1" w:themeFillTint="66"/>
          </w:tcPr>
          <w:p w:rsidR="00670853" w:rsidRPr="00D251D1" w:rsidRDefault="00670853" w:rsidP="00E61A72">
            <w:pPr>
              <w:pStyle w:val="TableBoldText"/>
            </w:pPr>
            <w:r w:rsidRPr="00D251D1">
              <w:t>Appeal of Grievance Committee Dismissal</w:t>
            </w:r>
          </w:p>
        </w:tc>
        <w:tc>
          <w:tcPr>
            <w:tcW w:w="3433" w:type="dxa"/>
            <w:shd w:val="clear" w:color="auto" w:fill="B8CCE4" w:themeFill="accent1" w:themeFillTint="66"/>
          </w:tcPr>
          <w:p w:rsidR="00670853" w:rsidRPr="00D251D1" w:rsidRDefault="00670853" w:rsidP="00BB4726">
            <w:pPr>
              <w:pStyle w:val="TableTextRegular"/>
            </w:pPr>
            <w:r w:rsidRPr="00D251D1">
              <w:t>Filed within 20 days of transmittal of dismissal notice</w:t>
            </w:r>
          </w:p>
        </w:tc>
        <w:tc>
          <w:tcPr>
            <w:tcW w:w="3433" w:type="dxa"/>
            <w:shd w:val="clear" w:color="auto" w:fill="B8CCE4" w:themeFill="accent1" w:themeFillTint="66"/>
          </w:tcPr>
          <w:p w:rsidR="00670853" w:rsidRPr="00D251D1" w:rsidRDefault="00670853" w:rsidP="00BB4726">
            <w:pPr>
              <w:pStyle w:val="TableTextRegular"/>
            </w:pPr>
            <w:r w:rsidRPr="00D251D1">
              <w:t>Filed within 10 days of transmittal of dismissal notice</w:t>
            </w:r>
          </w:p>
        </w:tc>
      </w:tr>
      <w:tr w:rsidR="00356339" w:rsidRPr="00D251D1" w:rsidTr="009B284C">
        <w:trPr>
          <w:cantSplit/>
        </w:trPr>
        <w:tc>
          <w:tcPr>
            <w:tcW w:w="3432" w:type="dxa"/>
            <w:shd w:val="clear" w:color="auto" w:fill="D9D9D9" w:themeFill="background1" w:themeFillShade="D9"/>
          </w:tcPr>
          <w:p w:rsidR="00356339" w:rsidRPr="00D251D1" w:rsidRDefault="00356339" w:rsidP="00E61A72">
            <w:pPr>
              <w:pStyle w:val="TableBoldText"/>
            </w:pPr>
            <w:r w:rsidRPr="00D251D1">
              <w:t>Appeal of Grievance Committee Dismissal</w:t>
            </w:r>
            <w:r>
              <w:t xml:space="preserve"> Heard</w:t>
            </w:r>
          </w:p>
        </w:tc>
        <w:tc>
          <w:tcPr>
            <w:tcW w:w="3433" w:type="dxa"/>
            <w:shd w:val="clear" w:color="auto" w:fill="D9D9D9" w:themeFill="background1" w:themeFillShade="D9"/>
          </w:tcPr>
          <w:p w:rsidR="00356339" w:rsidRPr="00D251D1" w:rsidRDefault="00356339" w:rsidP="00BB4726">
            <w:pPr>
              <w:pStyle w:val="TableTextRegular"/>
            </w:pPr>
            <w:r>
              <w:t>Not later than 10 days after receipt of appeal</w:t>
            </w:r>
          </w:p>
        </w:tc>
        <w:tc>
          <w:tcPr>
            <w:tcW w:w="3433" w:type="dxa"/>
            <w:shd w:val="clear" w:color="auto" w:fill="D9D9D9" w:themeFill="background1" w:themeFillShade="D9"/>
          </w:tcPr>
          <w:p w:rsidR="00356339" w:rsidRPr="00D251D1" w:rsidRDefault="00356339" w:rsidP="00BB4726">
            <w:pPr>
              <w:pStyle w:val="TableTextRegular"/>
            </w:pPr>
            <w:r>
              <w:t xml:space="preserve">Same </w:t>
            </w:r>
          </w:p>
        </w:tc>
      </w:tr>
      <w:tr w:rsidR="00356339" w:rsidRPr="00D251D1" w:rsidTr="009B284C">
        <w:trPr>
          <w:cantSplit/>
        </w:trPr>
        <w:tc>
          <w:tcPr>
            <w:tcW w:w="3432" w:type="dxa"/>
            <w:shd w:val="clear" w:color="auto" w:fill="B8CCE4" w:themeFill="accent1" w:themeFillTint="66"/>
          </w:tcPr>
          <w:p w:rsidR="00356339" w:rsidRPr="00D251D1" w:rsidRDefault="00FE541F" w:rsidP="00FE541F">
            <w:pPr>
              <w:pStyle w:val="TableBoldText"/>
            </w:pPr>
            <w:r>
              <w:t xml:space="preserve">Director’s Decision on Grievance Committee Dismissal </w:t>
            </w:r>
          </w:p>
        </w:tc>
        <w:tc>
          <w:tcPr>
            <w:tcW w:w="3433" w:type="dxa"/>
            <w:shd w:val="clear" w:color="auto" w:fill="B8CCE4" w:themeFill="accent1" w:themeFillTint="66"/>
          </w:tcPr>
          <w:p w:rsidR="00356339" w:rsidRPr="00D251D1" w:rsidRDefault="00FE541F" w:rsidP="00BB4726">
            <w:pPr>
              <w:pStyle w:val="TableTextRegular"/>
            </w:pPr>
            <w:r>
              <w:t>Transmittal within 5 days from the date of the decision</w:t>
            </w:r>
          </w:p>
        </w:tc>
        <w:tc>
          <w:tcPr>
            <w:tcW w:w="3433" w:type="dxa"/>
            <w:shd w:val="clear" w:color="auto" w:fill="B8CCE4" w:themeFill="accent1" w:themeFillTint="66"/>
          </w:tcPr>
          <w:p w:rsidR="00356339" w:rsidRPr="00D251D1" w:rsidRDefault="00FE541F" w:rsidP="00BB4726">
            <w:pPr>
              <w:pStyle w:val="TableTextRegular"/>
            </w:pPr>
            <w:r>
              <w:t xml:space="preserve">Same </w:t>
            </w:r>
          </w:p>
        </w:tc>
      </w:tr>
      <w:tr w:rsidR="00670853" w:rsidRPr="00D251D1" w:rsidTr="009B284C">
        <w:trPr>
          <w:cantSplit/>
        </w:trPr>
        <w:tc>
          <w:tcPr>
            <w:tcW w:w="3432" w:type="dxa"/>
            <w:shd w:val="clear" w:color="auto" w:fill="D9D9D9" w:themeFill="background1" w:themeFillShade="D9"/>
          </w:tcPr>
          <w:p w:rsidR="00670853" w:rsidRPr="00D251D1" w:rsidRDefault="00670853" w:rsidP="00BB4726">
            <w:pPr>
              <w:pStyle w:val="TableBoldText"/>
            </w:pPr>
            <w:r w:rsidRPr="00D251D1">
              <w:t xml:space="preserve">Hearing Date Selected </w:t>
            </w:r>
            <w:r w:rsidR="00BB4726">
              <w:br/>
            </w:r>
            <w:r w:rsidRPr="00D251D1">
              <w:t xml:space="preserve">(and Notice of Hearing sent- </w:t>
            </w:r>
            <w:r w:rsidR="00BB4726">
              <w:br/>
            </w:r>
            <w:r w:rsidRPr="00D251D1">
              <w:t>Fast Track only)</w:t>
            </w:r>
          </w:p>
        </w:tc>
        <w:tc>
          <w:tcPr>
            <w:tcW w:w="3433" w:type="dxa"/>
            <w:shd w:val="clear" w:color="auto" w:fill="D9D9D9" w:themeFill="background1" w:themeFillShade="D9"/>
          </w:tcPr>
          <w:p w:rsidR="00670853" w:rsidRPr="00D251D1" w:rsidRDefault="00670853" w:rsidP="00356339">
            <w:pPr>
              <w:pStyle w:val="TableTextRegular"/>
            </w:pPr>
            <w:r w:rsidRPr="00D251D1">
              <w:t xml:space="preserve">Hearing date shall be selected no later than </w:t>
            </w:r>
            <w:r w:rsidR="00356339">
              <w:t>5</w:t>
            </w:r>
            <w:r w:rsidRPr="00D251D1">
              <w:t xml:space="preserve"> days after Grievance Committee decision to forward for hearing is final (however the hearing would not need to occur during this time), selection made by PS Committee Chair</w:t>
            </w:r>
          </w:p>
        </w:tc>
        <w:tc>
          <w:tcPr>
            <w:tcW w:w="3433" w:type="dxa"/>
            <w:shd w:val="clear" w:color="auto" w:fill="D9D9D9" w:themeFill="background1" w:themeFillShade="D9"/>
          </w:tcPr>
          <w:p w:rsidR="00670853" w:rsidRPr="00D251D1" w:rsidRDefault="00670853" w:rsidP="00BB4726">
            <w:pPr>
              <w:pStyle w:val="TableTextRegular"/>
            </w:pPr>
            <w:r w:rsidRPr="00D251D1">
              <w:t>Hearing date shall be selected and notice of hearing and challenge forms transmitted no later than 5 days after Grievance Committee decision to forward for hearing is final (however the hearing would not need to occur during this time, but must occur no later than 45 days after Grievance Committee decision is final), selection made by PS Committee Chair</w:t>
            </w:r>
          </w:p>
        </w:tc>
      </w:tr>
      <w:tr w:rsidR="00670853" w:rsidRPr="00D251D1" w:rsidTr="009B284C">
        <w:trPr>
          <w:cantSplit/>
        </w:trPr>
        <w:tc>
          <w:tcPr>
            <w:tcW w:w="3432" w:type="dxa"/>
            <w:shd w:val="clear" w:color="auto" w:fill="B8CCE4" w:themeFill="accent1" w:themeFillTint="66"/>
          </w:tcPr>
          <w:p w:rsidR="00670853" w:rsidRPr="00D251D1" w:rsidRDefault="00670853" w:rsidP="00E61A72">
            <w:pPr>
              <w:pStyle w:val="TableBoldText"/>
            </w:pPr>
            <w:r w:rsidRPr="00D251D1">
              <w:t>Respondent Provides Response</w:t>
            </w:r>
          </w:p>
        </w:tc>
        <w:tc>
          <w:tcPr>
            <w:tcW w:w="3433" w:type="dxa"/>
            <w:shd w:val="clear" w:color="auto" w:fill="B8CCE4" w:themeFill="accent1" w:themeFillTint="66"/>
          </w:tcPr>
          <w:p w:rsidR="00670853" w:rsidRPr="00D251D1" w:rsidRDefault="00670853" w:rsidP="00BB4726">
            <w:pPr>
              <w:pStyle w:val="TableTextRegular"/>
            </w:pPr>
            <w:r w:rsidRPr="00D251D1">
              <w:t>Within 15 days of the request for response being transmitted</w:t>
            </w:r>
          </w:p>
        </w:tc>
        <w:tc>
          <w:tcPr>
            <w:tcW w:w="3433" w:type="dxa"/>
            <w:shd w:val="clear" w:color="auto" w:fill="B8CCE4" w:themeFill="accent1" w:themeFillTint="66"/>
          </w:tcPr>
          <w:p w:rsidR="00670853" w:rsidRPr="00D251D1" w:rsidRDefault="00670853" w:rsidP="00BB4726">
            <w:pPr>
              <w:pStyle w:val="TableTextRegular"/>
            </w:pPr>
            <w:r w:rsidRPr="00D251D1">
              <w:t>Within 10 days of the request for response being transmitted</w:t>
            </w:r>
          </w:p>
        </w:tc>
      </w:tr>
      <w:tr w:rsidR="00670853" w:rsidRPr="00D251D1" w:rsidTr="009B284C">
        <w:trPr>
          <w:cantSplit/>
        </w:trPr>
        <w:tc>
          <w:tcPr>
            <w:tcW w:w="3432" w:type="dxa"/>
            <w:shd w:val="clear" w:color="auto" w:fill="D9D9D9" w:themeFill="background1" w:themeFillShade="D9"/>
          </w:tcPr>
          <w:p w:rsidR="00670853" w:rsidRPr="00D251D1" w:rsidRDefault="00670853" w:rsidP="00E61A72">
            <w:pPr>
              <w:pStyle w:val="TableBoldText"/>
            </w:pPr>
            <w:r w:rsidRPr="00D251D1">
              <w:t xml:space="preserve">Copy of Response Provided </w:t>
            </w:r>
            <w:r w:rsidR="00BB4726">
              <w:br/>
            </w:r>
            <w:r w:rsidRPr="00D251D1">
              <w:t xml:space="preserve">to Complainant </w:t>
            </w:r>
          </w:p>
        </w:tc>
        <w:tc>
          <w:tcPr>
            <w:tcW w:w="3433" w:type="dxa"/>
            <w:shd w:val="clear" w:color="auto" w:fill="D9D9D9" w:themeFill="background1" w:themeFillShade="D9"/>
          </w:tcPr>
          <w:p w:rsidR="00670853" w:rsidRPr="00D251D1" w:rsidRDefault="00FE541F" w:rsidP="00BB4726">
            <w:pPr>
              <w:pStyle w:val="TableTextRegular"/>
            </w:pPr>
            <w:r>
              <w:t xml:space="preserve">Within </w:t>
            </w:r>
            <w:r w:rsidR="00670853" w:rsidRPr="00D251D1">
              <w:t xml:space="preserve">5 days of receipt </w:t>
            </w:r>
            <w:r w:rsidR="00BB4726">
              <w:br/>
            </w:r>
            <w:r w:rsidR="00670853" w:rsidRPr="00D251D1">
              <w:t>of response</w:t>
            </w:r>
            <w:r w:rsidR="00670853" w:rsidRPr="00D251D1">
              <w:tab/>
            </w:r>
          </w:p>
        </w:tc>
        <w:tc>
          <w:tcPr>
            <w:tcW w:w="3433" w:type="dxa"/>
            <w:shd w:val="clear" w:color="auto" w:fill="D9D9D9" w:themeFill="background1" w:themeFillShade="D9"/>
          </w:tcPr>
          <w:p w:rsidR="00670853" w:rsidRPr="00D251D1" w:rsidRDefault="00FE541F" w:rsidP="00BB4726">
            <w:pPr>
              <w:pStyle w:val="TableTextRegular"/>
            </w:pPr>
            <w:r>
              <w:t>Same</w:t>
            </w:r>
          </w:p>
        </w:tc>
      </w:tr>
      <w:tr w:rsidR="00670853" w:rsidRPr="00D251D1" w:rsidTr="009B284C">
        <w:trPr>
          <w:cantSplit/>
        </w:trPr>
        <w:tc>
          <w:tcPr>
            <w:tcW w:w="3432" w:type="dxa"/>
            <w:shd w:val="clear" w:color="auto" w:fill="B8CCE4" w:themeFill="accent1" w:themeFillTint="66"/>
          </w:tcPr>
          <w:p w:rsidR="00670853" w:rsidRPr="00D251D1" w:rsidRDefault="00670853" w:rsidP="00E61A72">
            <w:pPr>
              <w:pStyle w:val="TableBoldText"/>
            </w:pPr>
            <w:r w:rsidRPr="00D251D1">
              <w:t>Challenge Forms Returned</w:t>
            </w:r>
          </w:p>
        </w:tc>
        <w:tc>
          <w:tcPr>
            <w:tcW w:w="3433" w:type="dxa"/>
            <w:shd w:val="clear" w:color="auto" w:fill="B8CCE4" w:themeFill="accent1" w:themeFillTint="66"/>
          </w:tcPr>
          <w:p w:rsidR="00670853" w:rsidRPr="00D251D1" w:rsidRDefault="00670853" w:rsidP="00BB4726">
            <w:pPr>
              <w:pStyle w:val="TableTextRegular"/>
            </w:pPr>
            <w:r w:rsidRPr="00D251D1">
              <w:t>No later than 10 days after the date challenge forms are transmitted to the parties</w:t>
            </w:r>
          </w:p>
        </w:tc>
        <w:tc>
          <w:tcPr>
            <w:tcW w:w="3433" w:type="dxa"/>
            <w:shd w:val="clear" w:color="auto" w:fill="B8CCE4" w:themeFill="accent1" w:themeFillTint="66"/>
          </w:tcPr>
          <w:p w:rsidR="00670853" w:rsidRPr="00D251D1" w:rsidRDefault="00670853" w:rsidP="00BB4726">
            <w:pPr>
              <w:pStyle w:val="TableTextRegular"/>
            </w:pPr>
            <w:r w:rsidRPr="00D251D1">
              <w:t xml:space="preserve">No later than 5 days after the date challenge forms are transmitted to the parties </w:t>
            </w:r>
          </w:p>
        </w:tc>
      </w:tr>
      <w:tr w:rsidR="00670853" w:rsidRPr="00D251D1" w:rsidTr="009B284C">
        <w:trPr>
          <w:cantSplit/>
        </w:trPr>
        <w:tc>
          <w:tcPr>
            <w:tcW w:w="3432" w:type="dxa"/>
            <w:shd w:val="clear" w:color="auto" w:fill="D9D9D9" w:themeFill="background1" w:themeFillShade="D9"/>
          </w:tcPr>
          <w:p w:rsidR="00670853" w:rsidRPr="00D251D1" w:rsidRDefault="00670853" w:rsidP="00E61A72">
            <w:pPr>
              <w:pStyle w:val="TableBoldText"/>
            </w:pPr>
            <w:r w:rsidRPr="00D251D1">
              <w:t>Hearing Panel Selected</w:t>
            </w:r>
          </w:p>
        </w:tc>
        <w:tc>
          <w:tcPr>
            <w:tcW w:w="3433" w:type="dxa"/>
            <w:shd w:val="clear" w:color="auto" w:fill="D9D9D9" w:themeFill="background1" w:themeFillShade="D9"/>
          </w:tcPr>
          <w:p w:rsidR="00670853" w:rsidRPr="00D251D1" w:rsidRDefault="00670853" w:rsidP="00BB4726">
            <w:pPr>
              <w:pStyle w:val="TableTextRegular"/>
            </w:pPr>
            <w:r w:rsidRPr="00D251D1">
              <w:t>No later than 5 days after challenge forms are due</w:t>
            </w:r>
          </w:p>
        </w:tc>
        <w:tc>
          <w:tcPr>
            <w:tcW w:w="3433" w:type="dxa"/>
            <w:shd w:val="clear" w:color="auto" w:fill="D9D9D9" w:themeFill="background1" w:themeFillShade="D9"/>
          </w:tcPr>
          <w:p w:rsidR="00670853" w:rsidRPr="00D251D1" w:rsidRDefault="00670853" w:rsidP="00BB4726">
            <w:pPr>
              <w:pStyle w:val="TableTextRegular"/>
            </w:pPr>
            <w:r w:rsidRPr="00D251D1">
              <w:t>Same</w:t>
            </w:r>
          </w:p>
        </w:tc>
      </w:tr>
      <w:tr w:rsidR="00670853" w:rsidRPr="00D251D1" w:rsidTr="009B284C">
        <w:trPr>
          <w:cantSplit/>
        </w:trPr>
        <w:tc>
          <w:tcPr>
            <w:tcW w:w="3432" w:type="dxa"/>
            <w:shd w:val="clear" w:color="auto" w:fill="B8CCE4" w:themeFill="accent1" w:themeFillTint="66"/>
          </w:tcPr>
          <w:p w:rsidR="00670853" w:rsidRPr="00D251D1" w:rsidRDefault="00670853" w:rsidP="00E61A72">
            <w:pPr>
              <w:pStyle w:val="TableBoldText"/>
            </w:pPr>
            <w:r w:rsidRPr="00D251D1">
              <w:t>Hearing Notice Transmitted</w:t>
            </w:r>
          </w:p>
        </w:tc>
        <w:tc>
          <w:tcPr>
            <w:tcW w:w="3433" w:type="dxa"/>
            <w:shd w:val="clear" w:color="auto" w:fill="B8CCE4" w:themeFill="accent1" w:themeFillTint="66"/>
          </w:tcPr>
          <w:p w:rsidR="00670853" w:rsidRPr="00D251D1" w:rsidRDefault="00670853" w:rsidP="00BB4726">
            <w:pPr>
              <w:pStyle w:val="TableTextRegular"/>
            </w:pPr>
            <w:r w:rsidRPr="00D251D1">
              <w:t>21 days in advance of hearing</w:t>
            </w:r>
            <w:r w:rsidRPr="00D251D1">
              <w:tab/>
            </w:r>
          </w:p>
        </w:tc>
        <w:tc>
          <w:tcPr>
            <w:tcW w:w="3433" w:type="dxa"/>
            <w:shd w:val="clear" w:color="auto" w:fill="B8CCE4" w:themeFill="accent1" w:themeFillTint="66"/>
          </w:tcPr>
          <w:p w:rsidR="00670853" w:rsidRPr="00D251D1" w:rsidRDefault="00FE541F" w:rsidP="00BB4726">
            <w:pPr>
              <w:pStyle w:val="TableTextRegular"/>
            </w:pPr>
            <w:r>
              <w:t>Same</w:t>
            </w:r>
          </w:p>
        </w:tc>
      </w:tr>
      <w:tr w:rsidR="00670853" w:rsidRPr="00D251D1" w:rsidTr="009B284C">
        <w:trPr>
          <w:cantSplit/>
        </w:trPr>
        <w:tc>
          <w:tcPr>
            <w:tcW w:w="3432" w:type="dxa"/>
            <w:shd w:val="clear" w:color="auto" w:fill="D9D9D9" w:themeFill="background1" w:themeFillShade="D9"/>
          </w:tcPr>
          <w:p w:rsidR="00670853" w:rsidRPr="00D251D1" w:rsidRDefault="00670853" w:rsidP="00E61A72">
            <w:pPr>
              <w:pStyle w:val="TableBoldText"/>
            </w:pPr>
            <w:r w:rsidRPr="00D251D1">
              <w:lastRenderedPageBreak/>
              <w:t xml:space="preserve">Notice of Witnesses </w:t>
            </w:r>
            <w:r w:rsidR="00BB4726">
              <w:br/>
            </w:r>
            <w:r>
              <w:t>and Counsel</w:t>
            </w:r>
          </w:p>
        </w:tc>
        <w:tc>
          <w:tcPr>
            <w:tcW w:w="3433" w:type="dxa"/>
            <w:shd w:val="clear" w:color="auto" w:fill="D9D9D9" w:themeFill="background1" w:themeFillShade="D9"/>
          </w:tcPr>
          <w:p w:rsidR="00670853" w:rsidRPr="00D251D1" w:rsidRDefault="00670853" w:rsidP="00BB4726">
            <w:pPr>
              <w:pStyle w:val="TableTextRegular"/>
            </w:pPr>
            <w:r w:rsidRPr="00D251D1">
              <w:t>15 days before hearing to association and other parties</w:t>
            </w:r>
          </w:p>
        </w:tc>
        <w:tc>
          <w:tcPr>
            <w:tcW w:w="3433" w:type="dxa"/>
            <w:shd w:val="clear" w:color="auto" w:fill="D9D9D9" w:themeFill="background1" w:themeFillShade="D9"/>
          </w:tcPr>
          <w:p w:rsidR="00670853" w:rsidRPr="00D251D1" w:rsidRDefault="00670853" w:rsidP="00BB4726">
            <w:pPr>
              <w:pStyle w:val="TableTextRegular"/>
            </w:pPr>
            <w:r w:rsidRPr="00D251D1">
              <w:t>Same</w:t>
            </w:r>
          </w:p>
        </w:tc>
      </w:tr>
      <w:tr w:rsidR="00670853" w:rsidRPr="00D251D1" w:rsidTr="009B284C">
        <w:trPr>
          <w:cantSplit/>
        </w:trPr>
        <w:tc>
          <w:tcPr>
            <w:tcW w:w="3432" w:type="dxa"/>
            <w:shd w:val="clear" w:color="auto" w:fill="B8CCE4" w:themeFill="accent1" w:themeFillTint="66"/>
          </w:tcPr>
          <w:p w:rsidR="00670853" w:rsidRPr="00D251D1" w:rsidRDefault="00670853" w:rsidP="00E61A72">
            <w:pPr>
              <w:pStyle w:val="TableBoldText"/>
            </w:pPr>
            <w:r w:rsidRPr="00D251D1">
              <w:t>Adjourned Hearing/</w:t>
            </w:r>
            <w:r w:rsidR="00645F3D">
              <w:t xml:space="preserve"> </w:t>
            </w:r>
            <w:r w:rsidR="007D0369">
              <w:br/>
            </w:r>
            <w:r w:rsidRPr="00D251D1">
              <w:t>Reconvening</w:t>
            </w:r>
          </w:p>
        </w:tc>
        <w:tc>
          <w:tcPr>
            <w:tcW w:w="3433" w:type="dxa"/>
            <w:shd w:val="clear" w:color="auto" w:fill="B8CCE4" w:themeFill="accent1" w:themeFillTint="66"/>
          </w:tcPr>
          <w:p w:rsidR="00670853" w:rsidRPr="00D251D1" w:rsidRDefault="00670853" w:rsidP="00BB4726">
            <w:pPr>
              <w:pStyle w:val="TableTextRegular"/>
            </w:pPr>
            <w:r w:rsidRPr="00D251D1">
              <w:t>Not less than 15 days nor more than 30 days from hearing date (unless a “late” witness is allowed, and then not less than five days from hearing date)</w:t>
            </w:r>
          </w:p>
        </w:tc>
        <w:tc>
          <w:tcPr>
            <w:tcW w:w="3433" w:type="dxa"/>
            <w:shd w:val="clear" w:color="auto" w:fill="B8CCE4" w:themeFill="accent1" w:themeFillTint="66"/>
          </w:tcPr>
          <w:p w:rsidR="00670853" w:rsidRPr="00D251D1" w:rsidRDefault="00670853" w:rsidP="00BB4726">
            <w:pPr>
              <w:pStyle w:val="TableTextRegular"/>
            </w:pPr>
            <w:r w:rsidRPr="00D251D1">
              <w:t>Not more than 15 days from hearing date (unless a “late” witness is allowed, and then not less than five days from hearing date)</w:t>
            </w:r>
          </w:p>
        </w:tc>
      </w:tr>
      <w:tr w:rsidR="00670853" w:rsidRPr="00D251D1" w:rsidTr="009B284C">
        <w:trPr>
          <w:cantSplit/>
        </w:trPr>
        <w:tc>
          <w:tcPr>
            <w:tcW w:w="3432" w:type="dxa"/>
            <w:shd w:val="clear" w:color="auto" w:fill="D9D9D9" w:themeFill="background1" w:themeFillShade="D9"/>
          </w:tcPr>
          <w:p w:rsidR="00670853" w:rsidRPr="00D251D1" w:rsidRDefault="00670853" w:rsidP="00E61A72">
            <w:pPr>
              <w:pStyle w:val="TableBoldText"/>
            </w:pPr>
            <w:r w:rsidRPr="00D251D1">
              <w:t>Decision of Hearing Panel Reduced to Writing and Provided to Association Executive</w:t>
            </w:r>
          </w:p>
        </w:tc>
        <w:tc>
          <w:tcPr>
            <w:tcW w:w="3433" w:type="dxa"/>
            <w:shd w:val="clear" w:color="auto" w:fill="D9D9D9" w:themeFill="background1" w:themeFillShade="D9"/>
          </w:tcPr>
          <w:p w:rsidR="00670853" w:rsidRPr="00D251D1" w:rsidRDefault="00670853" w:rsidP="00BB4726">
            <w:pPr>
              <w:pStyle w:val="TableTextRegular"/>
            </w:pPr>
            <w:r w:rsidRPr="00D251D1">
              <w:t>Day of the hearing, or no later t</w:t>
            </w:r>
            <w:r>
              <w:t>han 48 hours following hearing</w:t>
            </w:r>
            <w:r w:rsidR="0007370F">
              <w:t xml:space="preserve"> </w:t>
            </w:r>
          </w:p>
        </w:tc>
        <w:tc>
          <w:tcPr>
            <w:tcW w:w="3433" w:type="dxa"/>
            <w:shd w:val="clear" w:color="auto" w:fill="D9D9D9" w:themeFill="background1" w:themeFillShade="D9"/>
          </w:tcPr>
          <w:p w:rsidR="00670853" w:rsidRPr="00D251D1" w:rsidRDefault="00670853" w:rsidP="00BB4726">
            <w:pPr>
              <w:pStyle w:val="TableTextRegular"/>
            </w:pPr>
            <w:r>
              <w:t>Same</w:t>
            </w:r>
          </w:p>
        </w:tc>
      </w:tr>
      <w:tr w:rsidR="00670853" w:rsidRPr="00D251D1" w:rsidTr="009B284C">
        <w:trPr>
          <w:cantSplit/>
        </w:trPr>
        <w:tc>
          <w:tcPr>
            <w:tcW w:w="3432" w:type="dxa"/>
            <w:shd w:val="clear" w:color="auto" w:fill="B8CCE4" w:themeFill="accent1" w:themeFillTint="66"/>
          </w:tcPr>
          <w:p w:rsidR="00670853" w:rsidRPr="00D251D1" w:rsidRDefault="00670853" w:rsidP="00BB4726">
            <w:pPr>
              <w:pStyle w:val="TableBoldText"/>
            </w:pPr>
            <w:r>
              <w:t>Transmit Decision to Parties</w:t>
            </w:r>
          </w:p>
        </w:tc>
        <w:tc>
          <w:tcPr>
            <w:tcW w:w="3433" w:type="dxa"/>
            <w:shd w:val="clear" w:color="auto" w:fill="B8CCE4" w:themeFill="accent1" w:themeFillTint="66"/>
          </w:tcPr>
          <w:p w:rsidR="00670853" w:rsidRPr="00D251D1" w:rsidRDefault="00670853" w:rsidP="00BB4726">
            <w:pPr>
              <w:pStyle w:val="TableTextRegular"/>
            </w:pPr>
            <w:r w:rsidRPr="00D251D1">
              <w:t>Within 5 days after filed with association secretary, except may be extended when necessary to obtain association counsel’s review</w:t>
            </w:r>
          </w:p>
        </w:tc>
        <w:tc>
          <w:tcPr>
            <w:tcW w:w="3433" w:type="dxa"/>
            <w:shd w:val="clear" w:color="auto" w:fill="B8CCE4" w:themeFill="accent1" w:themeFillTint="66"/>
          </w:tcPr>
          <w:p w:rsidR="00670853" w:rsidRDefault="00670853" w:rsidP="00BB4726">
            <w:pPr>
              <w:pStyle w:val="TableTextRegular"/>
            </w:pPr>
            <w:r>
              <w:t xml:space="preserve">Same </w:t>
            </w:r>
          </w:p>
          <w:p w:rsidR="00670853" w:rsidRPr="00D251D1" w:rsidRDefault="00670853" w:rsidP="00BB4726">
            <w:pPr>
              <w:pStyle w:val="TableTextRegular"/>
            </w:pPr>
          </w:p>
        </w:tc>
      </w:tr>
      <w:tr w:rsidR="00670853" w:rsidRPr="00D251D1" w:rsidTr="009B284C">
        <w:trPr>
          <w:cantSplit/>
        </w:trPr>
        <w:tc>
          <w:tcPr>
            <w:tcW w:w="3432" w:type="dxa"/>
            <w:shd w:val="clear" w:color="auto" w:fill="D9D9D9" w:themeFill="background1" w:themeFillShade="D9"/>
          </w:tcPr>
          <w:p w:rsidR="00670853" w:rsidRPr="00D251D1" w:rsidRDefault="00670853" w:rsidP="00E61A72">
            <w:pPr>
              <w:pStyle w:val="TableBoldText"/>
            </w:pPr>
            <w:r>
              <w:t>Appeal Filed</w:t>
            </w:r>
          </w:p>
        </w:tc>
        <w:tc>
          <w:tcPr>
            <w:tcW w:w="3433" w:type="dxa"/>
            <w:shd w:val="clear" w:color="auto" w:fill="D9D9D9" w:themeFill="background1" w:themeFillShade="D9"/>
          </w:tcPr>
          <w:p w:rsidR="00670853" w:rsidRPr="00D251D1" w:rsidRDefault="00670853" w:rsidP="00BB4726">
            <w:pPr>
              <w:pStyle w:val="TableTextRegular"/>
            </w:pPr>
            <w:r w:rsidRPr="00D251D1">
              <w:t xml:space="preserve">Within 20 days after </w:t>
            </w:r>
            <w:r w:rsidR="007D0369">
              <w:br/>
            </w:r>
            <w:r w:rsidRPr="00D251D1">
              <w:t>decision transmitted</w:t>
            </w:r>
          </w:p>
        </w:tc>
        <w:tc>
          <w:tcPr>
            <w:tcW w:w="3433" w:type="dxa"/>
            <w:shd w:val="clear" w:color="auto" w:fill="D9D9D9" w:themeFill="background1" w:themeFillShade="D9"/>
          </w:tcPr>
          <w:p w:rsidR="00670853" w:rsidRPr="00D251D1" w:rsidRDefault="00670853" w:rsidP="00BB4726">
            <w:pPr>
              <w:pStyle w:val="TableTextRegular"/>
            </w:pPr>
            <w:r w:rsidRPr="00D251D1">
              <w:t xml:space="preserve">Within 10 days after </w:t>
            </w:r>
            <w:r w:rsidR="007D0369">
              <w:br/>
            </w:r>
            <w:r w:rsidRPr="00D251D1">
              <w:t>decision transmitted</w:t>
            </w:r>
          </w:p>
        </w:tc>
      </w:tr>
      <w:tr w:rsidR="00670853" w:rsidRPr="00D251D1" w:rsidTr="009B284C">
        <w:trPr>
          <w:cantSplit/>
        </w:trPr>
        <w:tc>
          <w:tcPr>
            <w:tcW w:w="3432" w:type="dxa"/>
            <w:shd w:val="clear" w:color="auto" w:fill="B8CCE4" w:themeFill="accent1" w:themeFillTint="66"/>
          </w:tcPr>
          <w:p w:rsidR="00670853" w:rsidRPr="00D251D1" w:rsidRDefault="00670853" w:rsidP="00E61A72">
            <w:pPr>
              <w:pStyle w:val="TableBoldText"/>
            </w:pPr>
            <w:r w:rsidRPr="00D251D1">
              <w:t>Initial Administrative Review of Appeal by President or Designee</w:t>
            </w:r>
          </w:p>
        </w:tc>
        <w:tc>
          <w:tcPr>
            <w:tcW w:w="3433" w:type="dxa"/>
            <w:shd w:val="clear" w:color="auto" w:fill="B8CCE4" w:themeFill="accent1" w:themeFillTint="66"/>
          </w:tcPr>
          <w:p w:rsidR="00670853" w:rsidRPr="00D251D1" w:rsidRDefault="00670853" w:rsidP="00BB4726">
            <w:pPr>
              <w:pStyle w:val="TableTextRegular"/>
            </w:pPr>
            <w:r w:rsidRPr="00D251D1">
              <w:t>Within 10 days after appeal transmitted to association</w:t>
            </w:r>
          </w:p>
        </w:tc>
        <w:tc>
          <w:tcPr>
            <w:tcW w:w="3433" w:type="dxa"/>
            <w:shd w:val="clear" w:color="auto" w:fill="B8CCE4" w:themeFill="accent1" w:themeFillTint="66"/>
          </w:tcPr>
          <w:p w:rsidR="00670853" w:rsidRPr="00D251D1" w:rsidRDefault="00670853" w:rsidP="00BB4726">
            <w:pPr>
              <w:pStyle w:val="TableTextRegular"/>
            </w:pPr>
            <w:r w:rsidRPr="00D251D1">
              <w:t xml:space="preserve">Within 5 days after appeal transmitted to association </w:t>
            </w:r>
          </w:p>
        </w:tc>
      </w:tr>
      <w:tr w:rsidR="00670853" w:rsidRPr="00D251D1" w:rsidTr="009B284C">
        <w:trPr>
          <w:cantSplit/>
        </w:trPr>
        <w:tc>
          <w:tcPr>
            <w:tcW w:w="3432" w:type="dxa"/>
            <w:shd w:val="clear" w:color="auto" w:fill="D9D9D9" w:themeFill="background1" w:themeFillShade="D9"/>
          </w:tcPr>
          <w:p w:rsidR="00670853" w:rsidRPr="00D251D1" w:rsidRDefault="00670853" w:rsidP="00E61A72">
            <w:pPr>
              <w:pStyle w:val="TableBoldText"/>
            </w:pPr>
            <w:r w:rsidRPr="00D251D1">
              <w:t xml:space="preserve">Revised Appeal Filed </w:t>
            </w:r>
          </w:p>
        </w:tc>
        <w:tc>
          <w:tcPr>
            <w:tcW w:w="3433" w:type="dxa"/>
            <w:shd w:val="clear" w:color="auto" w:fill="D9D9D9" w:themeFill="background1" w:themeFillShade="D9"/>
          </w:tcPr>
          <w:p w:rsidR="00670853" w:rsidRPr="00D251D1" w:rsidRDefault="007D0369" w:rsidP="007D0369">
            <w:pPr>
              <w:pStyle w:val="TableTextRegular"/>
            </w:pPr>
            <w:r>
              <w:t>Within 10 days of notice</w:t>
            </w:r>
          </w:p>
        </w:tc>
        <w:tc>
          <w:tcPr>
            <w:tcW w:w="3433" w:type="dxa"/>
            <w:shd w:val="clear" w:color="auto" w:fill="D9D9D9" w:themeFill="background1" w:themeFillShade="D9"/>
          </w:tcPr>
          <w:p w:rsidR="00670853" w:rsidRPr="00D251D1" w:rsidRDefault="00670853" w:rsidP="00BB4726">
            <w:pPr>
              <w:pStyle w:val="TableTextRegular"/>
            </w:pPr>
            <w:r w:rsidRPr="00D251D1">
              <w:t>Within 5 days of notice</w:t>
            </w:r>
            <w:r w:rsidRPr="00D251D1">
              <w:tab/>
            </w:r>
            <w:r w:rsidRPr="00D251D1">
              <w:tab/>
            </w:r>
          </w:p>
        </w:tc>
      </w:tr>
      <w:tr w:rsidR="00670853" w:rsidRPr="00D251D1" w:rsidTr="009B284C">
        <w:trPr>
          <w:cantSplit/>
        </w:trPr>
        <w:tc>
          <w:tcPr>
            <w:tcW w:w="3432" w:type="dxa"/>
            <w:shd w:val="clear" w:color="auto" w:fill="B8CCE4" w:themeFill="accent1" w:themeFillTint="66"/>
          </w:tcPr>
          <w:p w:rsidR="00670853" w:rsidRPr="00D251D1" w:rsidRDefault="00670853" w:rsidP="00E61A72">
            <w:pPr>
              <w:pStyle w:val="TableBoldText"/>
            </w:pPr>
            <w:r>
              <w:t xml:space="preserve">Appeal Transmitted to </w:t>
            </w:r>
            <w:r w:rsidR="007D0369">
              <w:br/>
            </w:r>
            <w:r>
              <w:t>other Party(ies)</w:t>
            </w:r>
          </w:p>
        </w:tc>
        <w:tc>
          <w:tcPr>
            <w:tcW w:w="3433" w:type="dxa"/>
            <w:shd w:val="clear" w:color="auto" w:fill="B8CCE4" w:themeFill="accent1" w:themeFillTint="66"/>
          </w:tcPr>
          <w:p w:rsidR="00670853" w:rsidRPr="00D251D1" w:rsidRDefault="00670853" w:rsidP="00BB4726">
            <w:pPr>
              <w:pStyle w:val="TableTextRegular"/>
            </w:pPr>
            <w:r>
              <w:t>Within one day, as originally filed or as amended</w:t>
            </w:r>
          </w:p>
        </w:tc>
        <w:tc>
          <w:tcPr>
            <w:tcW w:w="3433" w:type="dxa"/>
            <w:shd w:val="clear" w:color="auto" w:fill="B8CCE4" w:themeFill="accent1" w:themeFillTint="66"/>
          </w:tcPr>
          <w:p w:rsidR="00670853" w:rsidRPr="00D251D1" w:rsidRDefault="00670853" w:rsidP="00BB4726">
            <w:pPr>
              <w:pStyle w:val="TableTextRegular"/>
            </w:pPr>
            <w:r>
              <w:t>Same</w:t>
            </w:r>
          </w:p>
        </w:tc>
      </w:tr>
      <w:tr w:rsidR="00670853" w:rsidRPr="00D251D1" w:rsidTr="009B284C">
        <w:trPr>
          <w:cantSplit/>
        </w:trPr>
        <w:tc>
          <w:tcPr>
            <w:tcW w:w="3432" w:type="dxa"/>
            <w:shd w:val="clear" w:color="auto" w:fill="D9D9D9" w:themeFill="background1" w:themeFillShade="D9"/>
          </w:tcPr>
          <w:p w:rsidR="00670853" w:rsidRDefault="00670853" w:rsidP="00E61A72">
            <w:pPr>
              <w:pStyle w:val="TableBoldText"/>
            </w:pPr>
            <w:r w:rsidRPr="00D251D1">
              <w:t>Appeal Heard</w:t>
            </w:r>
          </w:p>
        </w:tc>
        <w:tc>
          <w:tcPr>
            <w:tcW w:w="3433" w:type="dxa"/>
            <w:shd w:val="clear" w:color="auto" w:fill="D9D9D9" w:themeFill="background1" w:themeFillShade="D9"/>
          </w:tcPr>
          <w:p w:rsidR="00670853" w:rsidRDefault="00670853" w:rsidP="00BB4726">
            <w:pPr>
              <w:pStyle w:val="TableTextRegular"/>
            </w:pPr>
            <w:r w:rsidRPr="00D251D1">
              <w:t xml:space="preserve">Next regularly scheduled meeting or special meeting designated for that purpose, but no later than 30 days after the date of receipt of </w:t>
            </w:r>
            <w:r w:rsidR="007D0369">
              <w:br/>
            </w:r>
            <w:r w:rsidRPr="00D251D1">
              <w:t xml:space="preserve">the appeal, giving minimum 10 </w:t>
            </w:r>
            <w:r w:rsidR="009B284C" w:rsidRPr="00D251D1">
              <w:t>days’ notice</w:t>
            </w:r>
          </w:p>
        </w:tc>
        <w:tc>
          <w:tcPr>
            <w:tcW w:w="3433" w:type="dxa"/>
            <w:shd w:val="clear" w:color="auto" w:fill="D9D9D9" w:themeFill="background1" w:themeFillShade="D9"/>
          </w:tcPr>
          <w:p w:rsidR="00670853" w:rsidRDefault="00670853" w:rsidP="00BB4726">
            <w:pPr>
              <w:pStyle w:val="TableTextRegular"/>
            </w:pPr>
            <w:r w:rsidRPr="00D251D1">
              <w:t xml:space="preserve">Next regularly scheduled meeting or special meeting designated for that purpose, but no later than 20 days after the date of receipt of </w:t>
            </w:r>
            <w:r w:rsidR="007D0369">
              <w:br/>
            </w:r>
            <w:r w:rsidRPr="00D251D1">
              <w:t xml:space="preserve">the appeal, giving minimum 10 </w:t>
            </w:r>
            <w:r w:rsidR="009B284C" w:rsidRPr="00D251D1">
              <w:t>days’ notice</w:t>
            </w:r>
          </w:p>
        </w:tc>
      </w:tr>
      <w:tr w:rsidR="00670853" w:rsidRPr="00D251D1" w:rsidTr="009B284C">
        <w:trPr>
          <w:cantSplit/>
        </w:trPr>
        <w:tc>
          <w:tcPr>
            <w:tcW w:w="3432" w:type="dxa"/>
            <w:shd w:val="clear" w:color="auto" w:fill="B8CCE4" w:themeFill="accent1" w:themeFillTint="66"/>
          </w:tcPr>
          <w:p w:rsidR="00670853" w:rsidRPr="00D251D1" w:rsidRDefault="00670853" w:rsidP="00E61A72">
            <w:pPr>
              <w:pStyle w:val="TableBoldText"/>
            </w:pPr>
            <w:r w:rsidRPr="00D251D1">
              <w:t>Final Decision on Appeal</w:t>
            </w:r>
          </w:p>
        </w:tc>
        <w:tc>
          <w:tcPr>
            <w:tcW w:w="3433" w:type="dxa"/>
            <w:shd w:val="clear" w:color="auto" w:fill="B8CCE4" w:themeFill="accent1" w:themeFillTint="66"/>
          </w:tcPr>
          <w:p w:rsidR="00670853" w:rsidRPr="00D251D1" w:rsidRDefault="00670853" w:rsidP="00BB4726">
            <w:pPr>
              <w:pStyle w:val="TableTextRegular"/>
            </w:pPr>
            <w:r w:rsidRPr="00D251D1">
              <w:t>Within 5 days of appeal hearing</w:t>
            </w:r>
          </w:p>
        </w:tc>
        <w:tc>
          <w:tcPr>
            <w:tcW w:w="3433" w:type="dxa"/>
            <w:shd w:val="clear" w:color="auto" w:fill="B8CCE4" w:themeFill="accent1" w:themeFillTint="66"/>
          </w:tcPr>
          <w:p w:rsidR="00670853" w:rsidRPr="00D251D1" w:rsidRDefault="00670853" w:rsidP="00BB4726">
            <w:pPr>
              <w:pStyle w:val="TableTextRegular"/>
            </w:pPr>
            <w:r w:rsidRPr="00D251D1">
              <w:t>Same</w:t>
            </w:r>
          </w:p>
        </w:tc>
      </w:tr>
      <w:tr w:rsidR="00670853" w:rsidRPr="003E0460" w:rsidTr="009B284C">
        <w:trPr>
          <w:cantSplit/>
        </w:trPr>
        <w:tc>
          <w:tcPr>
            <w:tcW w:w="3432" w:type="dxa"/>
            <w:shd w:val="clear" w:color="auto" w:fill="D9D9D9" w:themeFill="background1" w:themeFillShade="D9"/>
          </w:tcPr>
          <w:p w:rsidR="00670853" w:rsidRPr="00D251D1" w:rsidRDefault="00670853" w:rsidP="00E61A72">
            <w:pPr>
              <w:pStyle w:val="TableBoldText"/>
            </w:pPr>
            <w:r w:rsidRPr="00D251D1">
              <w:t>Absent an appeal, Final Action by Board of Directors on the Hearing Panel’s Recommendation</w:t>
            </w:r>
          </w:p>
        </w:tc>
        <w:tc>
          <w:tcPr>
            <w:tcW w:w="3433" w:type="dxa"/>
            <w:shd w:val="clear" w:color="auto" w:fill="D9D9D9" w:themeFill="background1" w:themeFillShade="D9"/>
          </w:tcPr>
          <w:p w:rsidR="00670853" w:rsidRPr="00D251D1" w:rsidRDefault="00670853" w:rsidP="00BB4726">
            <w:pPr>
              <w:pStyle w:val="TableTextRegular"/>
            </w:pPr>
            <w:r w:rsidRPr="00D251D1">
              <w:t xml:space="preserve">Next regularly scheduled meeting or special meeting designated </w:t>
            </w:r>
            <w:r w:rsidR="007D0369">
              <w:br/>
            </w:r>
            <w:r w:rsidRPr="00D251D1">
              <w:t xml:space="preserve">for that purpose, but no later than 30 days after the date Hearing Panel’s Decision is transmitted </w:t>
            </w:r>
            <w:r w:rsidR="007D0369">
              <w:br/>
            </w:r>
            <w:r w:rsidRPr="00D251D1">
              <w:t xml:space="preserve">to the parties </w:t>
            </w:r>
          </w:p>
        </w:tc>
        <w:tc>
          <w:tcPr>
            <w:tcW w:w="3433" w:type="dxa"/>
            <w:shd w:val="clear" w:color="auto" w:fill="D9D9D9" w:themeFill="background1" w:themeFillShade="D9"/>
          </w:tcPr>
          <w:p w:rsidR="00670853" w:rsidRPr="003E0460" w:rsidRDefault="00670853" w:rsidP="00BB4726">
            <w:pPr>
              <w:pStyle w:val="TableTextRegular"/>
            </w:pPr>
            <w:r w:rsidRPr="00D251D1">
              <w:t xml:space="preserve">Next regularly scheduled meeting or special meeting designated </w:t>
            </w:r>
            <w:r w:rsidR="007D0369">
              <w:br/>
            </w:r>
            <w:r w:rsidRPr="00D251D1">
              <w:t xml:space="preserve">for that purpose, but no later than 20 days after the date Hearing Panel’s Decision is transmitted </w:t>
            </w:r>
            <w:r w:rsidR="007D0369">
              <w:br/>
            </w:r>
            <w:r w:rsidRPr="00D251D1">
              <w:t xml:space="preserve">to the parties </w:t>
            </w:r>
          </w:p>
        </w:tc>
      </w:tr>
    </w:tbl>
    <w:p w:rsidR="00670853" w:rsidRPr="007D0369" w:rsidRDefault="00670853" w:rsidP="00BB4726">
      <w:pPr>
        <w:spacing w:before="60"/>
        <w:rPr>
          <w:i/>
        </w:rPr>
      </w:pPr>
      <w:r w:rsidRPr="007D0369">
        <w:rPr>
          <w:i/>
        </w:rPr>
        <w:lastRenderedPageBreak/>
        <w:t xml:space="preserve">In the event the association has adopted the expedited ethics administration procedures provided in Sections 20 (f-q) of the NAR </w:t>
      </w:r>
      <w:r w:rsidRPr="007D0369">
        <w:t>Code of Ethics and Arbitration Manual</w:t>
      </w:r>
      <w:r w:rsidRPr="007D0369">
        <w:rPr>
          <w:i/>
        </w:rPr>
        <w:t>, the following time frame would apply:</w:t>
      </w:r>
    </w:p>
    <w:p w:rsidR="00670853" w:rsidRPr="005772B5" w:rsidRDefault="00670853" w:rsidP="00670853">
      <w:pPr>
        <w:pStyle w:val="PlainText"/>
      </w:pPr>
    </w:p>
    <w:tbl>
      <w:tblPr>
        <w:tblStyle w:val="TableGrid"/>
        <w:tblW w:w="0" w:type="auto"/>
        <w:tblLook w:val="04A0" w:firstRow="1" w:lastRow="0" w:firstColumn="1" w:lastColumn="0" w:noHBand="0" w:noVBand="1"/>
      </w:tblPr>
      <w:tblGrid>
        <w:gridCol w:w="3432"/>
        <w:gridCol w:w="3433"/>
        <w:gridCol w:w="3433"/>
      </w:tblGrid>
      <w:tr w:rsidR="009B284C" w:rsidRPr="009B284C" w:rsidTr="009B284C">
        <w:tc>
          <w:tcPr>
            <w:tcW w:w="10298" w:type="dxa"/>
            <w:gridSpan w:val="3"/>
            <w:shd w:val="clear" w:color="auto" w:fill="003366"/>
          </w:tcPr>
          <w:p w:rsidR="00BB4726" w:rsidRPr="009B284C" w:rsidRDefault="00BB4726" w:rsidP="007D0369">
            <w:pPr>
              <w:pStyle w:val="TableHeader"/>
              <w:rPr>
                <w:color w:val="FFFFFF" w:themeColor="background1"/>
              </w:rPr>
            </w:pPr>
            <w:r w:rsidRPr="009B284C">
              <w:rPr>
                <w:rStyle w:val="Strong"/>
                <w:b/>
                <w:bCs/>
                <w:color w:val="FFFFFF" w:themeColor="background1"/>
              </w:rPr>
              <w:t>Summary of Time</w:t>
            </w:r>
            <w:r w:rsidR="007D0369" w:rsidRPr="009B284C">
              <w:rPr>
                <w:rStyle w:val="Strong"/>
                <w:b/>
                <w:bCs/>
                <w:color w:val="FFFFFF" w:themeColor="background1"/>
              </w:rPr>
              <w:t xml:space="preserve"> F</w:t>
            </w:r>
            <w:r w:rsidRPr="009B284C">
              <w:rPr>
                <w:rStyle w:val="Strong"/>
                <w:b/>
                <w:bCs/>
                <w:color w:val="FFFFFF" w:themeColor="background1"/>
              </w:rPr>
              <w:t>rames Comparing “Enhanced” with “Fast Track”</w:t>
            </w:r>
          </w:p>
        </w:tc>
      </w:tr>
      <w:tr w:rsidR="009B284C" w:rsidRPr="009B284C" w:rsidTr="00990C33">
        <w:tc>
          <w:tcPr>
            <w:tcW w:w="3432" w:type="dxa"/>
            <w:shd w:val="clear" w:color="auto" w:fill="FF0000"/>
            <w:vAlign w:val="center"/>
          </w:tcPr>
          <w:p w:rsidR="009B284C" w:rsidRPr="009B284C" w:rsidRDefault="009B284C" w:rsidP="00E51B25">
            <w:pPr>
              <w:pStyle w:val="PlainText"/>
              <w:jc w:val="center"/>
              <w:rPr>
                <w:rFonts w:asciiTheme="majorHAnsi" w:hAnsiTheme="majorHAnsi"/>
                <w:b/>
                <w:color w:val="FFFFFF" w:themeColor="background1"/>
                <w:sz w:val="22"/>
                <w:szCs w:val="22"/>
              </w:rPr>
            </w:pPr>
            <w:r w:rsidRPr="009B284C">
              <w:rPr>
                <w:rFonts w:asciiTheme="majorHAnsi" w:hAnsiTheme="majorHAnsi"/>
                <w:b/>
                <w:color w:val="FFFFFF" w:themeColor="background1"/>
                <w:sz w:val="22"/>
                <w:szCs w:val="22"/>
              </w:rPr>
              <w:t>ACTIONS TO BE COMPLETED</w:t>
            </w:r>
          </w:p>
        </w:tc>
        <w:tc>
          <w:tcPr>
            <w:tcW w:w="3433" w:type="dxa"/>
            <w:shd w:val="clear" w:color="auto" w:fill="FF0000"/>
          </w:tcPr>
          <w:p w:rsidR="009B284C" w:rsidRPr="009B284C" w:rsidRDefault="009B284C" w:rsidP="00E51B25">
            <w:pPr>
              <w:pStyle w:val="TableBoxHeader"/>
              <w:rPr>
                <w:b/>
                <w:color w:val="FFFFFF" w:themeColor="background1"/>
              </w:rPr>
            </w:pPr>
            <w:r w:rsidRPr="009B284C">
              <w:rPr>
                <w:b/>
                <w:color w:val="FFFFFF" w:themeColor="background1"/>
              </w:rPr>
              <w:t>ENHANCED</w:t>
            </w:r>
          </w:p>
        </w:tc>
        <w:tc>
          <w:tcPr>
            <w:tcW w:w="3433" w:type="dxa"/>
            <w:shd w:val="clear" w:color="auto" w:fill="FF0000"/>
          </w:tcPr>
          <w:p w:rsidR="009B284C" w:rsidRPr="009B284C" w:rsidRDefault="009B284C" w:rsidP="00E51B25">
            <w:pPr>
              <w:spacing w:before="120" w:after="120"/>
              <w:jc w:val="center"/>
              <w:rPr>
                <w:b/>
                <w:color w:val="FFFFFF" w:themeColor="background1"/>
              </w:rPr>
            </w:pPr>
            <w:r w:rsidRPr="009B284C">
              <w:rPr>
                <w:b/>
                <w:color w:val="FFFFFF" w:themeColor="background1"/>
              </w:rPr>
              <w:t>FAST TRACK</w:t>
            </w:r>
          </w:p>
        </w:tc>
      </w:tr>
      <w:tr w:rsidR="009B284C" w:rsidRPr="00775185" w:rsidTr="009B284C">
        <w:tc>
          <w:tcPr>
            <w:tcW w:w="3432" w:type="dxa"/>
            <w:shd w:val="clear" w:color="auto" w:fill="D9D9D9" w:themeFill="background1" w:themeFillShade="D9"/>
          </w:tcPr>
          <w:p w:rsidR="009B284C" w:rsidRPr="00775185" w:rsidRDefault="009B284C" w:rsidP="00E61A72">
            <w:pPr>
              <w:pStyle w:val="TableBoldText"/>
            </w:pPr>
            <w:r w:rsidRPr="00775185">
              <w:t>Respondent Provides Response Waiving Right to a Hearing and Acknowledging the Conduct Alleged in the Complaint*</w:t>
            </w:r>
          </w:p>
        </w:tc>
        <w:tc>
          <w:tcPr>
            <w:tcW w:w="3433" w:type="dxa"/>
            <w:shd w:val="clear" w:color="auto" w:fill="D9D9D9" w:themeFill="background1" w:themeFillShade="D9"/>
          </w:tcPr>
          <w:p w:rsidR="009B284C" w:rsidRPr="00775185" w:rsidRDefault="009B284C" w:rsidP="00BB4726">
            <w:pPr>
              <w:pStyle w:val="TableTextRegular"/>
            </w:pPr>
            <w:r w:rsidRPr="00775185">
              <w:t xml:space="preserve">Within 10 days of transmission </w:t>
            </w:r>
            <w:r>
              <w:br/>
            </w:r>
            <w:r w:rsidRPr="00775185">
              <w:t>of the complaint</w:t>
            </w:r>
          </w:p>
        </w:tc>
        <w:tc>
          <w:tcPr>
            <w:tcW w:w="3433" w:type="dxa"/>
            <w:shd w:val="clear" w:color="auto" w:fill="D9D9D9" w:themeFill="background1" w:themeFillShade="D9"/>
          </w:tcPr>
          <w:p w:rsidR="009B284C" w:rsidRPr="00775185" w:rsidRDefault="009B284C" w:rsidP="00BB4726">
            <w:pPr>
              <w:pStyle w:val="TableTextRegular"/>
            </w:pPr>
            <w:r w:rsidRPr="00775185">
              <w:t xml:space="preserve">Within 5 days of transmission </w:t>
            </w:r>
            <w:r>
              <w:br/>
            </w:r>
            <w:r w:rsidRPr="00775185">
              <w:t>of the complaint</w:t>
            </w:r>
          </w:p>
        </w:tc>
      </w:tr>
    </w:tbl>
    <w:p w:rsidR="00670853" w:rsidRPr="007D0369" w:rsidRDefault="00670853" w:rsidP="00BB4726">
      <w:pPr>
        <w:spacing w:before="60"/>
        <w:rPr>
          <w:i/>
        </w:rPr>
      </w:pPr>
      <w:r w:rsidRPr="007D0369">
        <w:rPr>
          <w:i/>
        </w:rPr>
        <w:t xml:space="preserve">*If the respondent does not acknowledge the conduct alleged in the complaint or waive the right to a hearing, or does not respond within ten days (existing) or 5 days (fast track) of transmittal of the complaint, the deadlines articulated above will resume, beginning with the </w:t>
      </w:r>
      <w:r w:rsidR="00967288">
        <w:rPr>
          <w:i/>
        </w:rPr>
        <w:t xml:space="preserve">5 </w:t>
      </w:r>
      <w:r w:rsidRPr="007D0369">
        <w:rPr>
          <w:i/>
        </w:rPr>
        <w:t xml:space="preserve">day deadline for the Professional Standards Committee Chair to select a hearing date. </w:t>
      </w:r>
    </w:p>
    <w:p w:rsidR="00670853" w:rsidRPr="005772B5" w:rsidRDefault="00670853" w:rsidP="00670853">
      <w:pPr>
        <w:pStyle w:val="PlainText"/>
      </w:pPr>
    </w:p>
    <w:p w:rsidR="00670853" w:rsidRPr="003E0460" w:rsidRDefault="00670853" w:rsidP="00670853">
      <w:pPr>
        <w:pStyle w:val="PlainText"/>
      </w:pPr>
    </w:p>
    <w:p w:rsidR="00C66608" w:rsidRDefault="00C66608" w:rsidP="00245833"/>
    <w:sectPr w:rsidR="00C66608" w:rsidSect="00E61A72">
      <w:pgSz w:w="12240" w:h="15840"/>
      <w:pgMar w:top="1440" w:right="1079" w:bottom="1440" w:left="10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1CC" w:rsidRDefault="002771CC" w:rsidP="00B55D1F">
      <w:r>
        <w:separator/>
      </w:r>
    </w:p>
  </w:endnote>
  <w:endnote w:type="continuationSeparator" w:id="0">
    <w:p w:rsidR="002771CC" w:rsidRDefault="002771CC" w:rsidP="00B5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ø?ë+5'88n7†ÅË&l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Roman">
    <w:charset w:val="00"/>
    <w:family w:val="auto"/>
    <w:pitch w:val="variable"/>
    <w:sig w:usb0="00000003" w:usb1="00000000" w:usb2="00000000" w:usb3="00000000" w:csb0="00000001" w:csb1="00000000"/>
  </w:font>
  <w:font w:name="Helvetica-Bold">
    <w:altName w:val="Times New Roman"/>
    <w:charset w:val="00"/>
    <w:family w:val="auto"/>
    <w:pitch w:val="variable"/>
    <w:sig w:usb0="00000001" w:usb1="5000785B" w:usb2="00000000" w:usb3="00000000" w:csb0="0000019F" w:csb1="00000000"/>
  </w:font>
  <w:font w:name="Times-Italic">
    <w:charset w:val="00"/>
    <w:family w:val="auto"/>
    <w:pitch w:val="variable"/>
    <w:sig w:usb0="00000003" w:usb1="00000000" w:usb2="00000000" w:usb3="00000000" w:csb0="00000001" w:csb1="00000000"/>
  </w:font>
  <w:font w:name="Times-Bol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1CC" w:rsidRDefault="002771CC" w:rsidP="00B55D1F">
      <w:r>
        <w:separator/>
      </w:r>
    </w:p>
  </w:footnote>
  <w:footnote w:type="continuationSeparator" w:id="0">
    <w:p w:rsidR="002771CC" w:rsidRDefault="002771CC" w:rsidP="00B55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6FD"/>
    <w:multiLevelType w:val="hybridMultilevel"/>
    <w:tmpl w:val="A0C4266C"/>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F4FF2"/>
    <w:multiLevelType w:val="hybridMultilevel"/>
    <w:tmpl w:val="3992E10A"/>
    <w:lvl w:ilvl="0" w:tplc="30325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7A80"/>
    <w:multiLevelType w:val="multilevel"/>
    <w:tmpl w:val="83C493F4"/>
    <w:lvl w:ilvl="0">
      <w:start w:val="1"/>
      <w:numFmt w:val="decimal"/>
      <w:lvlText w:val="%1)"/>
      <w:lvlJc w:val="left"/>
      <w:pPr>
        <w:tabs>
          <w:tab w:val="num" w:pos="734"/>
        </w:tabs>
        <w:ind w:left="734"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3" w15:restartNumberingAfterBreak="0">
    <w:nsid w:val="0C3A2DE0"/>
    <w:multiLevelType w:val="hybridMultilevel"/>
    <w:tmpl w:val="81C4D374"/>
    <w:lvl w:ilvl="0" w:tplc="C5C812F6">
      <w:start w:val="1"/>
      <w:numFmt w:val="decimal"/>
      <w:lvlText w:val="%1)"/>
      <w:lvlJc w:val="left"/>
      <w:pPr>
        <w:ind w:left="893"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60187"/>
    <w:multiLevelType w:val="multilevel"/>
    <w:tmpl w:val="7472AE34"/>
    <w:lvl w:ilvl="0">
      <w:start w:val="1"/>
      <w:numFmt w:val="decimal"/>
      <w:lvlText w:val="%1)"/>
      <w:lvlJc w:val="left"/>
      <w:pPr>
        <w:tabs>
          <w:tab w:val="num" w:pos="547"/>
        </w:tabs>
        <w:ind w:left="547" w:hanging="187"/>
      </w:pPr>
      <w:rPr>
        <w:rFonts w:hint="default"/>
      </w:r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5" w15:restartNumberingAfterBreak="0">
    <w:nsid w:val="158A0EAE"/>
    <w:multiLevelType w:val="hybridMultilevel"/>
    <w:tmpl w:val="256AAE34"/>
    <w:lvl w:ilvl="0" w:tplc="DB2A84E8">
      <w:start w:val="6"/>
      <w:numFmt w:val="bullet"/>
      <w:lvlText w:val=""/>
      <w:lvlJc w:val="left"/>
      <w:pPr>
        <w:ind w:left="720" w:hanging="360"/>
      </w:pPr>
      <w:rPr>
        <w:rFonts w:ascii="Symbol" w:eastAsiaTheme="minorEastAsia" w:hAnsi="Symbol" w:cs="`‡¯ø?ë+5'88n7†ÅË&lt;"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1B984167"/>
    <w:multiLevelType w:val="hybridMultilevel"/>
    <w:tmpl w:val="1C36987A"/>
    <w:lvl w:ilvl="0" w:tplc="9FB6AB5A">
      <w:start w:val="1"/>
      <w:numFmt w:val="decimal"/>
      <w:lvlText w:val="%1)"/>
      <w:lvlJc w:val="left"/>
      <w:pPr>
        <w:ind w:left="893" w:hanging="360"/>
      </w:p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7" w15:restartNumberingAfterBreak="0">
    <w:nsid w:val="1EEC7498"/>
    <w:multiLevelType w:val="hybridMultilevel"/>
    <w:tmpl w:val="B0A8BDE0"/>
    <w:lvl w:ilvl="0" w:tplc="85627D3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007CE"/>
    <w:multiLevelType w:val="hybridMultilevel"/>
    <w:tmpl w:val="B3265A46"/>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65271"/>
    <w:multiLevelType w:val="multilevel"/>
    <w:tmpl w:val="626AD08E"/>
    <w:lvl w:ilvl="0">
      <w:start w:val="1"/>
      <w:numFmt w:val="decimal"/>
      <w:lvlText w:val="%1)"/>
      <w:lvlJc w:val="right"/>
      <w:pPr>
        <w:tabs>
          <w:tab w:val="num" w:pos="288"/>
        </w:tabs>
        <w:ind w:left="360" w:hanging="72"/>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0" w15:restartNumberingAfterBreak="0">
    <w:nsid w:val="24620F05"/>
    <w:multiLevelType w:val="hybridMultilevel"/>
    <w:tmpl w:val="EAA2F674"/>
    <w:lvl w:ilvl="0" w:tplc="E078FA38">
      <w:start w:val="1"/>
      <w:numFmt w:val="decimal"/>
      <w:pStyle w:val="Style1"/>
      <w:lvlText w:val="%1)"/>
      <w:lvlJc w:val="left"/>
      <w:pPr>
        <w:ind w:left="54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248F459E"/>
    <w:multiLevelType w:val="multilevel"/>
    <w:tmpl w:val="6C904820"/>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2" w15:restartNumberingAfterBreak="0">
    <w:nsid w:val="269D7E70"/>
    <w:multiLevelType w:val="multilevel"/>
    <w:tmpl w:val="27740E48"/>
    <w:lvl w:ilvl="0">
      <w:start w:val="1"/>
      <w:numFmt w:val="decimal"/>
      <w:lvlText w:val="%1)"/>
      <w:lvlJc w:val="left"/>
      <w:pPr>
        <w:tabs>
          <w:tab w:val="num" w:pos="360"/>
        </w:tabs>
        <w:ind w:left="360" w:firstLine="0"/>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3" w15:restartNumberingAfterBreak="0">
    <w:nsid w:val="26BD53C7"/>
    <w:multiLevelType w:val="hybridMultilevel"/>
    <w:tmpl w:val="E93C203A"/>
    <w:lvl w:ilvl="0" w:tplc="4E7C82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C6788"/>
    <w:multiLevelType w:val="multilevel"/>
    <w:tmpl w:val="5AF62A3C"/>
    <w:lvl w:ilvl="0">
      <w:start w:val="1"/>
      <w:numFmt w:val="decimal"/>
      <w:lvlText w:val="%1)"/>
      <w:lvlJc w:val="left"/>
      <w:pPr>
        <w:ind w:left="893" w:hanging="360"/>
      </w:pPr>
    </w:lvl>
    <w:lvl w:ilvl="1">
      <w:start w:val="1"/>
      <w:numFmt w:val="lowerLetter"/>
      <w:lvlText w:val="%2."/>
      <w:lvlJc w:val="left"/>
      <w:pPr>
        <w:ind w:left="1613" w:hanging="360"/>
      </w:pPr>
    </w:lvl>
    <w:lvl w:ilvl="2">
      <w:start w:val="1"/>
      <w:numFmt w:val="lowerRoman"/>
      <w:lvlText w:val="%3."/>
      <w:lvlJc w:val="right"/>
      <w:pPr>
        <w:ind w:left="2333" w:hanging="180"/>
      </w:pPr>
    </w:lvl>
    <w:lvl w:ilvl="3">
      <w:start w:val="1"/>
      <w:numFmt w:val="decimal"/>
      <w:lvlText w:val="%4."/>
      <w:lvlJc w:val="left"/>
      <w:pPr>
        <w:ind w:left="3053" w:hanging="360"/>
      </w:pPr>
    </w:lvl>
    <w:lvl w:ilvl="4">
      <w:start w:val="1"/>
      <w:numFmt w:val="lowerLetter"/>
      <w:lvlText w:val="%5."/>
      <w:lvlJc w:val="left"/>
      <w:pPr>
        <w:ind w:left="3773" w:hanging="360"/>
      </w:pPr>
    </w:lvl>
    <w:lvl w:ilvl="5">
      <w:start w:val="1"/>
      <w:numFmt w:val="lowerRoman"/>
      <w:lvlText w:val="%6."/>
      <w:lvlJc w:val="right"/>
      <w:pPr>
        <w:ind w:left="4493" w:hanging="180"/>
      </w:pPr>
    </w:lvl>
    <w:lvl w:ilvl="6">
      <w:start w:val="1"/>
      <w:numFmt w:val="decimal"/>
      <w:lvlText w:val="%7."/>
      <w:lvlJc w:val="left"/>
      <w:pPr>
        <w:ind w:left="5213" w:hanging="360"/>
      </w:pPr>
    </w:lvl>
    <w:lvl w:ilvl="7">
      <w:start w:val="1"/>
      <w:numFmt w:val="lowerLetter"/>
      <w:lvlText w:val="%8."/>
      <w:lvlJc w:val="left"/>
      <w:pPr>
        <w:ind w:left="5933" w:hanging="360"/>
      </w:pPr>
    </w:lvl>
    <w:lvl w:ilvl="8">
      <w:start w:val="1"/>
      <w:numFmt w:val="lowerRoman"/>
      <w:lvlText w:val="%9."/>
      <w:lvlJc w:val="right"/>
      <w:pPr>
        <w:ind w:left="6653" w:hanging="180"/>
      </w:pPr>
    </w:lvl>
  </w:abstractNum>
  <w:abstractNum w:abstractNumId="15" w15:restartNumberingAfterBreak="0">
    <w:nsid w:val="2AF81927"/>
    <w:multiLevelType w:val="multilevel"/>
    <w:tmpl w:val="9912E4DC"/>
    <w:lvl w:ilvl="0">
      <w:start w:val="1"/>
      <w:numFmt w:val="decimal"/>
      <w:lvlText w:val="%1)"/>
      <w:lvlJc w:val="left"/>
      <w:pPr>
        <w:tabs>
          <w:tab w:val="num" w:pos="360"/>
        </w:tabs>
        <w:ind w:left="360" w:hanging="144"/>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6" w15:restartNumberingAfterBreak="0">
    <w:nsid w:val="2C283C8A"/>
    <w:multiLevelType w:val="multilevel"/>
    <w:tmpl w:val="12C2E00E"/>
    <w:lvl w:ilvl="0">
      <w:start w:val="1"/>
      <w:numFmt w:val="decimal"/>
      <w:lvlText w:val="%1)"/>
      <w:lvlJc w:val="left"/>
      <w:pPr>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690883"/>
    <w:multiLevelType w:val="multilevel"/>
    <w:tmpl w:val="34CA8C54"/>
    <w:lvl w:ilvl="0">
      <w:start w:val="1"/>
      <w:numFmt w:val="decimal"/>
      <w:lvlText w:val="%1)"/>
      <w:lvlJc w:val="left"/>
      <w:pPr>
        <w:tabs>
          <w:tab w:val="num" w:pos="360"/>
        </w:tabs>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F67415"/>
    <w:multiLevelType w:val="hybridMultilevel"/>
    <w:tmpl w:val="3992E10A"/>
    <w:lvl w:ilvl="0" w:tplc="30325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5073C"/>
    <w:multiLevelType w:val="multilevel"/>
    <w:tmpl w:val="01E40138"/>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0" w15:restartNumberingAfterBreak="0">
    <w:nsid w:val="3E2269B5"/>
    <w:multiLevelType w:val="multilevel"/>
    <w:tmpl w:val="0ACC8F82"/>
    <w:lvl w:ilvl="0">
      <w:start w:val="1"/>
      <w:numFmt w:val="decimal"/>
      <w:lvlText w:val="%1)"/>
      <w:lvlJc w:val="left"/>
      <w:pPr>
        <w:tabs>
          <w:tab w:val="num" w:pos="734"/>
        </w:tabs>
        <w:ind w:left="734" w:hanging="187"/>
      </w:pPr>
      <w:rPr>
        <w:rFonts w:hint="default"/>
      </w:rPr>
    </w:lvl>
    <w:lvl w:ilvl="1">
      <w:start w:val="1"/>
      <w:numFmt w:val="lowerLetter"/>
      <w:lvlText w:val="%2."/>
      <w:lvlJc w:val="left"/>
      <w:pPr>
        <w:ind w:left="2188" w:hanging="360"/>
      </w:pPr>
    </w:lvl>
    <w:lvl w:ilvl="2">
      <w:start w:val="1"/>
      <w:numFmt w:val="lowerRoman"/>
      <w:lvlText w:val="%3."/>
      <w:lvlJc w:val="right"/>
      <w:pPr>
        <w:ind w:left="2908" w:hanging="180"/>
      </w:pPr>
    </w:lvl>
    <w:lvl w:ilvl="3">
      <w:start w:val="1"/>
      <w:numFmt w:val="decimal"/>
      <w:lvlText w:val="%4."/>
      <w:lvlJc w:val="left"/>
      <w:pPr>
        <w:ind w:left="3628" w:hanging="360"/>
      </w:pPr>
    </w:lvl>
    <w:lvl w:ilvl="4">
      <w:start w:val="1"/>
      <w:numFmt w:val="lowerLetter"/>
      <w:lvlText w:val="%5."/>
      <w:lvlJc w:val="left"/>
      <w:pPr>
        <w:ind w:left="4348" w:hanging="360"/>
      </w:pPr>
    </w:lvl>
    <w:lvl w:ilvl="5">
      <w:start w:val="1"/>
      <w:numFmt w:val="lowerRoman"/>
      <w:lvlText w:val="%6."/>
      <w:lvlJc w:val="right"/>
      <w:pPr>
        <w:ind w:left="5068" w:hanging="180"/>
      </w:pPr>
    </w:lvl>
    <w:lvl w:ilvl="6">
      <w:start w:val="1"/>
      <w:numFmt w:val="decimal"/>
      <w:lvlText w:val="%7."/>
      <w:lvlJc w:val="left"/>
      <w:pPr>
        <w:ind w:left="5788" w:hanging="360"/>
      </w:pPr>
    </w:lvl>
    <w:lvl w:ilvl="7">
      <w:start w:val="1"/>
      <w:numFmt w:val="lowerLetter"/>
      <w:lvlText w:val="%8."/>
      <w:lvlJc w:val="left"/>
      <w:pPr>
        <w:ind w:left="6508" w:hanging="360"/>
      </w:pPr>
    </w:lvl>
    <w:lvl w:ilvl="8">
      <w:start w:val="1"/>
      <w:numFmt w:val="lowerRoman"/>
      <w:lvlText w:val="%9."/>
      <w:lvlJc w:val="right"/>
      <w:pPr>
        <w:ind w:left="7228" w:hanging="180"/>
      </w:pPr>
    </w:lvl>
  </w:abstractNum>
  <w:abstractNum w:abstractNumId="21" w15:restartNumberingAfterBreak="0">
    <w:nsid w:val="416A35AF"/>
    <w:multiLevelType w:val="multilevel"/>
    <w:tmpl w:val="D448538A"/>
    <w:lvl w:ilvl="0">
      <w:start w:val="1"/>
      <w:numFmt w:val="decimal"/>
      <w:lvlText w:val="%1)"/>
      <w:lvlJc w:val="left"/>
      <w:pPr>
        <w:tabs>
          <w:tab w:val="num" w:pos="360"/>
        </w:tabs>
        <w:ind w:left="360" w:firstLine="0"/>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2" w15:restartNumberingAfterBreak="0">
    <w:nsid w:val="44593E64"/>
    <w:multiLevelType w:val="hybridMultilevel"/>
    <w:tmpl w:val="945288D4"/>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3E45F2"/>
    <w:multiLevelType w:val="multilevel"/>
    <w:tmpl w:val="77FA422E"/>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4" w15:restartNumberingAfterBreak="0">
    <w:nsid w:val="678401E6"/>
    <w:multiLevelType w:val="multilevel"/>
    <w:tmpl w:val="68667104"/>
    <w:lvl w:ilvl="0">
      <w:start w:val="1"/>
      <w:numFmt w:val="decimal"/>
      <w:lvlText w:val="%1)"/>
      <w:lvlJc w:val="left"/>
      <w:pPr>
        <w:tabs>
          <w:tab w:val="num" w:pos="360"/>
        </w:tabs>
        <w:ind w:left="360" w:hanging="144"/>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5" w15:restartNumberingAfterBreak="0">
    <w:nsid w:val="76184310"/>
    <w:multiLevelType w:val="multilevel"/>
    <w:tmpl w:val="B5BA4F2C"/>
    <w:lvl w:ilvl="0">
      <w:start w:val="1"/>
      <w:numFmt w:val="decimal"/>
      <w:lvlText w:val="%1)"/>
      <w:lvlJc w:val="left"/>
      <w:pPr>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234F4C"/>
    <w:multiLevelType w:val="hybridMultilevel"/>
    <w:tmpl w:val="0ACC8F82"/>
    <w:lvl w:ilvl="0" w:tplc="355C5738">
      <w:start w:val="1"/>
      <w:numFmt w:val="decimal"/>
      <w:lvlText w:val="%1)"/>
      <w:lvlJc w:val="left"/>
      <w:pPr>
        <w:tabs>
          <w:tab w:val="num" w:pos="734"/>
        </w:tabs>
        <w:ind w:left="734" w:hanging="187"/>
      </w:pPr>
      <w:rPr>
        <w:rFonts w:hint="default"/>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num w:numId="1">
    <w:abstractNumId w:val="3"/>
  </w:num>
  <w:num w:numId="2">
    <w:abstractNumId w:val="10"/>
  </w:num>
  <w:num w:numId="3">
    <w:abstractNumId w:val="10"/>
    <w:lvlOverride w:ilvl="0">
      <w:startOverride w:val="1"/>
    </w:lvlOverride>
  </w:num>
  <w:num w:numId="4">
    <w:abstractNumId w:val="10"/>
    <w:lvlOverride w:ilvl="0">
      <w:startOverride w:val="1"/>
    </w:lvlOverride>
  </w:num>
  <w:num w:numId="5">
    <w:abstractNumId w:val="6"/>
  </w:num>
  <w:num w:numId="6">
    <w:abstractNumId w:val="14"/>
  </w:num>
  <w:num w:numId="7">
    <w:abstractNumId w:val="26"/>
  </w:num>
  <w:num w:numId="8">
    <w:abstractNumId w:val="25"/>
  </w:num>
  <w:num w:numId="9">
    <w:abstractNumId w:val="26"/>
    <w:lvlOverride w:ilvl="0">
      <w:startOverride w:val="1"/>
    </w:lvlOverride>
  </w:num>
  <w:num w:numId="10">
    <w:abstractNumId w:val="16"/>
  </w:num>
  <w:num w:numId="11">
    <w:abstractNumId w:val="17"/>
  </w:num>
  <w:num w:numId="12">
    <w:abstractNumId w:val="26"/>
    <w:lvlOverride w:ilvl="0">
      <w:startOverride w:val="1"/>
    </w:lvlOverride>
  </w:num>
  <w:num w:numId="13">
    <w:abstractNumId w:val="4"/>
  </w:num>
  <w:num w:numId="14">
    <w:abstractNumId w:val="26"/>
    <w:lvlOverride w:ilvl="0">
      <w:startOverride w:val="1"/>
    </w:lvlOverride>
  </w:num>
  <w:num w:numId="15">
    <w:abstractNumId w:val="2"/>
  </w:num>
  <w:num w:numId="16">
    <w:abstractNumId w:val="15"/>
  </w:num>
  <w:num w:numId="17">
    <w:abstractNumId w:val="26"/>
    <w:lvlOverride w:ilvl="0">
      <w:startOverride w:val="1"/>
    </w:lvlOverride>
  </w:num>
  <w:num w:numId="18">
    <w:abstractNumId w:val="24"/>
  </w:num>
  <w:num w:numId="19">
    <w:abstractNumId w:val="9"/>
  </w:num>
  <w:num w:numId="20">
    <w:abstractNumId w:val="12"/>
  </w:num>
  <w:num w:numId="21">
    <w:abstractNumId w:val="26"/>
    <w:lvlOverride w:ilvl="0">
      <w:startOverride w:val="1"/>
    </w:lvlOverride>
  </w:num>
  <w:num w:numId="22">
    <w:abstractNumId w:val="21"/>
  </w:num>
  <w:num w:numId="23">
    <w:abstractNumId w:val="19"/>
  </w:num>
  <w:num w:numId="24">
    <w:abstractNumId w:val="26"/>
    <w:lvlOverride w:ilvl="0">
      <w:startOverride w:val="1"/>
    </w:lvlOverride>
  </w:num>
  <w:num w:numId="25">
    <w:abstractNumId w:val="23"/>
  </w:num>
  <w:num w:numId="26">
    <w:abstractNumId w:val="11"/>
  </w:num>
  <w:num w:numId="27">
    <w:abstractNumId w:val="26"/>
    <w:lvlOverride w:ilvl="0">
      <w:startOverride w:val="1"/>
    </w:lvlOverride>
  </w:num>
  <w:num w:numId="28">
    <w:abstractNumId w:val="20"/>
  </w:num>
  <w:num w:numId="29">
    <w:abstractNumId w:val="5"/>
  </w:num>
  <w:num w:numId="30">
    <w:abstractNumId w:val="18"/>
  </w:num>
  <w:num w:numId="31">
    <w:abstractNumId w:val="1"/>
  </w:num>
  <w:num w:numId="32">
    <w:abstractNumId w:val="0"/>
  </w:num>
  <w:num w:numId="33">
    <w:abstractNumId w:val="22"/>
  </w:num>
  <w:num w:numId="34">
    <w:abstractNumId w:val="8"/>
  </w:num>
  <w:num w:numId="35">
    <w:abstractNumId w:val="13"/>
  </w:num>
  <w:num w:numId="3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65"/>
    <w:rsid w:val="00000495"/>
    <w:rsid w:val="0000214F"/>
    <w:rsid w:val="00011E04"/>
    <w:rsid w:val="00022F5D"/>
    <w:rsid w:val="0003283A"/>
    <w:rsid w:val="000339B7"/>
    <w:rsid w:val="00035AB7"/>
    <w:rsid w:val="00036FA5"/>
    <w:rsid w:val="000403D2"/>
    <w:rsid w:val="000442FB"/>
    <w:rsid w:val="00054047"/>
    <w:rsid w:val="0005547D"/>
    <w:rsid w:val="000702FE"/>
    <w:rsid w:val="0007370F"/>
    <w:rsid w:val="00080B55"/>
    <w:rsid w:val="000826E7"/>
    <w:rsid w:val="00086827"/>
    <w:rsid w:val="0008773B"/>
    <w:rsid w:val="00095E1A"/>
    <w:rsid w:val="000A099D"/>
    <w:rsid w:val="000A4983"/>
    <w:rsid w:val="000B733F"/>
    <w:rsid w:val="000B771C"/>
    <w:rsid w:val="000C0D44"/>
    <w:rsid w:val="000C71D0"/>
    <w:rsid w:val="000C7EA0"/>
    <w:rsid w:val="000D298B"/>
    <w:rsid w:val="000E1E83"/>
    <w:rsid w:val="000E264D"/>
    <w:rsid w:val="000E32F5"/>
    <w:rsid w:val="000E495F"/>
    <w:rsid w:val="00102066"/>
    <w:rsid w:val="00102358"/>
    <w:rsid w:val="0010288A"/>
    <w:rsid w:val="00106A34"/>
    <w:rsid w:val="0010792C"/>
    <w:rsid w:val="00117687"/>
    <w:rsid w:val="00121437"/>
    <w:rsid w:val="0013109D"/>
    <w:rsid w:val="001319AB"/>
    <w:rsid w:val="00153694"/>
    <w:rsid w:val="00155762"/>
    <w:rsid w:val="00162B64"/>
    <w:rsid w:val="001633EF"/>
    <w:rsid w:val="00164290"/>
    <w:rsid w:val="00166901"/>
    <w:rsid w:val="00167EB0"/>
    <w:rsid w:val="00175A8D"/>
    <w:rsid w:val="001777C7"/>
    <w:rsid w:val="00177EAC"/>
    <w:rsid w:val="00181A33"/>
    <w:rsid w:val="00185C89"/>
    <w:rsid w:val="00187AD2"/>
    <w:rsid w:val="00193B83"/>
    <w:rsid w:val="00196E68"/>
    <w:rsid w:val="001A1DC4"/>
    <w:rsid w:val="001C62A0"/>
    <w:rsid w:val="001D11BC"/>
    <w:rsid w:val="001D4718"/>
    <w:rsid w:val="001E1066"/>
    <w:rsid w:val="001E2A93"/>
    <w:rsid w:val="001F60CA"/>
    <w:rsid w:val="00210FD9"/>
    <w:rsid w:val="002152CF"/>
    <w:rsid w:val="00224374"/>
    <w:rsid w:val="00225D99"/>
    <w:rsid w:val="002348C5"/>
    <w:rsid w:val="002353F4"/>
    <w:rsid w:val="002411BF"/>
    <w:rsid w:val="002414DE"/>
    <w:rsid w:val="0024345F"/>
    <w:rsid w:val="00245833"/>
    <w:rsid w:val="00252F4D"/>
    <w:rsid w:val="00254DAB"/>
    <w:rsid w:val="002635B7"/>
    <w:rsid w:val="00274424"/>
    <w:rsid w:val="00275B15"/>
    <w:rsid w:val="0027711A"/>
    <w:rsid w:val="002771CC"/>
    <w:rsid w:val="002822E8"/>
    <w:rsid w:val="00290EE9"/>
    <w:rsid w:val="00291396"/>
    <w:rsid w:val="00294E32"/>
    <w:rsid w:val="002A632F"/>
    <w:rsid w:val="002B566A"/>
    <w:rsid w:val="002B778A"/>
    <w:rsid w:val="002C6661"/>
    <w:rsid w:val="002D260B"/>
    <w:rsid w:val="002D2F4E"/>
    <w:rsid w:val="002D3F1C"/>
    <w:rsid w:val="002D7799"/>
    <w:rsid w:val="002E331D"/>
    <w:rsid w:val="002E658B"/>
    <w:rsid w:val="002E6680"/>
    <w:rsid w:val="002F1A8A"/>
    <w:rsid w:val="002F34AC"/>
    <w:rsid w:val="003002E8"/>
    <w:rsid w:val="00312620"/>
    <w:rsid w:val="00312AAE"/>
    <w:rsid w:val="003155E1"/>
    <w:rsid w:val="00320D81"/>
    <w:rsid w:val="00321BCC"/>
    <w:rsid w:val="003229DB"/>
    <w:rsid w:val="00337BAB"/>
    <w:rsid w:val="003431E6"/>
    <w:rsid w:val="003452F0"/>
    <w:rsid w:val="00354D7E"/>
    <w:rsid w:val="00355F8D"/>
    <w:rsid w:val="00356339"/>
    <w:rsid w:val="00371178"/>
    <w:rsid w:val="00376D9D"/>
    <w:rsid w:val="00377017"/>
    <w:rsid w:val="003868E0"/>
    <w:rsid w:val="00386BA1"/>
    <w:rsid w:val="003875E3"/>
    <w:rsid w:val="003C585D"/>
    <w:rsid w:val="003C7667"/>
    <w:rsid w:val="003E106B"/>
    <w:rsid w:val="003E23D1"/>
    <w:rsid w:val="003F347B"/>
    <w:rsid w:val="0040063E"/>
    <w:rsid w:val="00405372"/>
    <w:rsid w:val="0040587C"/>
    <w:rsid w:val="004109BE"/>
    <w:rsid w:val="00411E3D"/>
    <w:rsid w:val="00426A76"/>
    <w:rsid w:val="00434690"/>
    <w:rsid w:val="00442BE0"/>
    <w:rsid w:val="00445A59"/>
    <w:rsid w:val="00455332"/>
    <w:rsid w:val="00477582"/>
    <w:rsid w:val="00482AB0"/>
    <w:rsid w:val="00487E76"/>
    <w:rsid w:val="00494118"/>
    <w:rsid w:val="004969C6"/>
    <w:rsid w:val="004A456B"/>
    <w:rsid w:val="004A58AC"/>
    <w:rsid w:val="004B0B1F"/>
    <w:rsid w:val="004B2E71"/>
    <w:rsid w:val="004C7A50"/>
    <w:rsid w:val="004D3832"/>
    <w:rsid w:val="004D46E1"/>
    <w:rsid w:val="004E23BC"/>
    <w:rsid w:val="004E55DF"/>
    <w:rsid w:val="004E73C1"/>
    <w:rsid w:val="004F2C29"/>
    <w:rsid w:val="004F7679"/>
    <w:rsid w:val="005156E3"/>
    <w:rsid w:val="005222BA"/>
    <w:rsid w:val="00530CD4"/>
    <w:rsid w:val="005353CB"/>
    <w:rsid w:val="0054074A"/>
    <w:rsid w:val="00540A59"/>
    <w:rsid w:val="00542FDF"/>
    <w:rsid w:val="005456ED"/>
    <w:rsid w:val="00553D50"/>
    <w:rsid w:val="005555C6"/>
    <w:rsid w:val="005610EA"/>
    <w:rsid w:val="00562BB9"/>
    <w:rsid w:val="00563E57"/>
    <w:rsid w:val="00575523"/>
    <w:rsid w:val="005777BC"/>
    <w:rsid w:val="00586A61"/>
    <w:rsid w:val="00592E84"/>
    <w:rsid w:val="00593A7E"/>
    <w:rsid w:val="005947AA"/>
    <w:rsid w:val="00594857"/>
    <w:rsid w:val="005A1D4F"/>
    <w:rsid w:val="005A6121"/>
    <w:rsid w:val="005C0DBA"/>
    <w:rsid w:val="005D5F28"/>
    <w:rsid w:val="005E2E03"/>
    <w:rsid w:val="005E7C19"/>
    <w:rsid w:val="005F1BFA"/>
    <w:rsid w:val="00602A06"/>
    <w:rsid w:val="00604322"/>
    <w:rsid w:val="00614B87"/>
    <w:rsid w:val="006256C6"/>
    <w:rsid w:val="0063016B"/>
    <w:rsid w:val="006332FE"/>
    <w:rsid w:val="006415CF"/>
    <w:rsid w:val="00645F3D"/>
    <w:rsid w:val="006527A0"/>
    <w:rsid w:val="006635E4"/>
    <w:rsid w:val="00666313"/>
    <w:rsid w:val="00670853"/>
    <w:rsid w:val="00671675"/>
    <w:rsid w:val="00672257"/>
    <w:rsid w:val="006738FD"/>
    <w:rsid w:val="00682992"/>
    <w:rsid w:val="00682E9B"/>
    <w:rsid w:val="00697334"/>
    <w:rsid w:val="00697A1D"/>
    <w:rsid w:val="006A2411"/>
    <w:rsid w:val="006A5EBE"/>
    <w:rsid w:val="006A734F"/>
    <w:rsid w:val="006B0E74"/>
    <w:rsid w:val="006C1FC6"/>
    <w:rsid w:val="006C2030"/>
    <w:rsid w:val="006C2351"/>
    <w:rsid w:val="006C2527"/>
    <w:rsid w:val="006C33E6"/>
    <w:rsid w:val="006D33E6"/>
    <w:rsid w:val="006D5AA8"/>
    <w:rsid w:val="006D6A73"/>
    <w:rsid w:val="006E2587"/>
    <w:rsid w:val="006E35C9"/>
    <w:rsid w:val="006F6BB2"/>
    <w:rsid w:val="00711980"/>
    <w:rsid w:val="00711ADD"/>
    <w:rsid w:val="00716E31"/>
    <w:rsid w:val="00720788"/>
    <w:rsid w:val="00725B11"/>
    <w:rsid w:val="007260C3"/>
    <w:rsid w:val="00733561"/>
    <w:rsid w:val="007336B0"/>
    <w:rsid w:val="007427D8"/>
    <w:rsid w:val="00743868"/>
    <w:rsid w:val="007576A0"/>
    <w:rsid w:val="00757FF1"/>
    <w:rsid w:val="0076145B"/>
    <w:rsid w:val="00762BEB"/>
    <w:rsid w:val="007673AE"/>
    <w:rsid w:val="007677D0"/>
    <w:rsid w:val="00776EEF"/>
    <w:rsid w:val="0078277C"/>
    <w:rsid w:val="007919EB"/>
    <w:rsid w:val="007945BA"/>
    <w:rsid w:val="00795F9A"/>
    <w:rsid w:val="007A0DEA"/>
    <w:rsid w:val="007B6636"/>
    <w:rsid w:val="007C3389"/>
    <w:rsid w:val="007D0369"/>
    <w:rsid w:val="007D20F7"/>
    <w:rsid w:val="007D2423"/>
    <w:rsid w:val="007E1BCF"/>
    <w:rsid w:val="007E57CB"/>
    <w:rsid w:val="007F563B"/>
    <w:rsid w:val="007F667B"/>
    <w:rsid w:val="007F6DBE"/>
    <w:rsid w:val="00803F3B"/>
    <w:rsid w:val="0080716A"/>
    <w:rsid w:val="008164AC"/>
    <w:rsid w:val="00816D80"/>
    <w:rsid w:val="008205AC"/>
    <w:rsid w:val="008256AA"/>
    <w:rsid w:val="00832BEA"/>
    <w:rsid w:val="00840F0A"/>
    <w:rsid w:val="008510A7"/>
    <w:rsid w:val="00852D44"/>
    <w:rsid w:val="00853D5D"/>
    <w:rsid w:val="0086047C"/>
    <w:rsid w:val="00866079"/>
    <w:rsid w:val="008725CA"/>
    <w:rsid w:val="00876870"/>
    <w:rsid w:val="00880E70"/>
    <w:rsid w:val="008832F9"/>
    <w:rsid w:val="008855C1"/>
    <w:rsid w:val="00886A79"/>
    <w:rsid w:val="00891379"/>
    <w:rsid w:val="00892601"/>
    <w:rsid w:val="008933BA"/>
    <w:rsid w:val="008A2C08"/>
    <w:rsid w:val="008B49B2"/>
    <w:rsid w:val="008C3EEE"/>
    <w:rsid w:val="008D2795"/>
    <w:rsid w:val="008D4E2E"/>
    <w:rsid w:val="008D5E35"/>
    <w:rsid w:val="008D75FF"/>
    <w:rsid w:val="008E386F"/>
    <w:rsid w:val="008F25DC"/>
    <w:rsid w:val="008F6C52"/>
    <w:rsid w:val="00900AA7"/>
    <w:rsid w:val="00906936"/>
    <w:rsid w:val="00912FFE"/>
    <w:rsid w:val="00920D07"/>
    <w:rsid w:val="00923A58"/>
    <w:rsid w:val="00924D9C"/>
    <w:rsid w:val="009353CF"/>
    <w:rsid w:val="009425CC"/>
    <w:rsid w:val="00953B7E"/>
    <w:rsid w:val="00963F0B"/>
    <w:rsid w:val="00965487"/>
    <w:rsid w:val="00967288"/>
    <w:rsid w:val="009713D2"/>
    <w:rsid w:val="00974E30"/>
    <w:rsid w:val="00977276"/>
    <w:rsid w:val="00996964"/>
    <w:rsid w:val="009A1790"/>
    <w:rsid w:val="009A1CA8"/>
    <w:rsid w:val="009A471D"/>
    <w:rsid w:val="009B284C"/>
    <w:rsid w:val="009B2A34"/>
    <w:rsid w:val="009B4064"/>
    <w:rsid w:val="009C10A9"/>
    <w:rsid w:val="009C41A4"/>
    <w:rsid w:val="009D485C"/>
    <w:rsid w:val="009D50C6"/>
    <w:rsid w:val="009E221C"/>
    <w:rsid w:val="009F0E46"/>
    <w:rsid w:val="009F27F5"/>
    <w:rsid w:val="009F3713"/>
    <w:rsid w:val="009F670A"/>
    <w:rsid w:val="00A06E47"/>
    <w:rsid w:val="00A07D4C"/>
    <w:rsid w:val="00A10A37"/>
    <w:rsid w:val="00A11A78"/>
    <w:rsid w:val="00A24467"/>
    <w:rsid w:val="00A25DA6"/>
    <w:rsid w:val="00A329D9"/>
    <w:rsid w:val="00A33267"/>
    <w:rsid w:val="00A43593"/>
    <w:rsid w:val="00A458F9"/>
    <w:rsid w:val="00A537D6"/>
    <w:rsid w:val="00A537F4"/>
    <w:rsid w:val="00A564B4"/>
    <w:rsid w:val="00A56879"/>
    <w:rsid w:val="00A636D9"/>
    <w:rsid w:val="00A76513"/>
    <w:rsid w:val="00A7657D"/>
    <w:rsid w:val="00A8052E"/>
    <w:rsid w:val="00A8069F"/>
    <w:rsid w:val="00A81ED2"/>
    <w:rsid w:val="00A84496"/>
    <w:rsid w:val="00A867FA"/>
    <w:rsid w:val="00A93633"/>
    <w:rsid w:val="00A964A0"/>
    <w:rsid w:val="00AA3281"/>
    <w:rsid w:val="00AA5461"/>
    <w:rsid w:val="00AA6D69"/>
    <w:rsid w:val="00AB0024"/>
    <w:rsid w:val="00AB793C"/>
    <w:rsid w:val="00AC7842"/>
    <w:rsid w:val="00AD43E5"/>
    <w:rsid w:val="00AD56A3"/>
    <w:rsid w:val="00AF359F"/>
    <w:rsid w:val="00AF45E8"/>
    <w:rsid w:val="00AF7D14"/>
    <w:rsid w:val="00B055B8"/>
    <w:rsid w:val="00B1479B"/>
    <w:rsid w:val="00B14E04"/>
    <w:rsid w:val="00B16314"/>
    <w:rsid w:val="00B22C40"/>
    <w:rsid w:val="00B22E62"/>
    <w:rsid w:val="00B27EBA"/>
    <w:rsid w:val="00B33298"/>
    <w:rsid w:val="00B34E82"/>
    <w:rsid w:val="00B3502B"/>
    <w:rsid w:val="00B36BCB"/>
    <w:rsid w:val="00B43263"/>
    <w:rsid w:val="00B46582"/>
    <w:rsid w:val="00B472D2"/>
    <w:rsid w:val="00B54F8B"/>
    <w:rsid w:val="00B55D1F"/>
    <w:rsid w:val="00B57A87"/>
    <w:rsid w:val="00B61168"/>
    <w:rsid w:val="00B611BE"/>
    <w:rsid w:val="00B64775"/>
    <w:rsid w:val="00B64850"/>
    <w:rsid w:val="00B77D74"/>
    <w:rsid w:val="00B81050"/>
    <w:rsid w:val="00B92365"/>
    <w:rsid w:val="00BA0FE1"/>
    <w:rsid w:val="00BA5642"/>
    <w:rsid w:val="00BA687A"/>
    <w:rsid w:val="00BB33A0"/>
    <w:rsid w:val="00BB4726"/>
    <w:rsid w:val="00BC13EB"/>
    <w:rsid w:val="00BC3F3A"/>
    <w:rsid w:val="00BC4C2A"/>
    <w:rsid w:val="00BD1524"/>
    <w:rsid w:val="00BD27EB"/>
    <w:rsid w:val="00BD40B1"/>
    <w:rsid w:val="00BD4B47"/>
    <w:rsid w:val="00BD775B"/>
    <w:rsid w:val="00BE1AFA"/>
    <w:rsid w:val="00BE341E"/>
    <w:rsid w:val="00C01672"/>
    <w:rsid w:val="00C11907"/>
    <w:rsid w:val="00C12D9E"/>
    <w:rsid w:val="00C55749"/>
    <w:rsid w:val="00C57DAB"/>
    <w:rsid w:val="00C60074"/>
    <w:rsid w:val="00C61B1C"/>
    <w:rsid w:val="00C62EBB"/>
    <w:rsid w:val="00C65EE3"/>
    <w:rsid w:val="00C66608"/>
    <w:rsid w:val="00C73C45"/>
    <w:rsid w:val="00C855C7"/>
    <w:rsid w:val="00C87516"/>
    <w:rsid w:val="00C9324F"/>
    <w:rsid w:val="00CA0D77"/>
    <w:rsid w:val="00CB1BE3"/>
    <w:rsid w:val="00CB26D6"/>
    <w:rsid w:val="00CB6B5C"/>
    <w:rsid w:val="00CC2E75"/>
    <w:rsid w:val="00CC3D22"/>
    <w:rsid w:val="00CC59B4"/>
    <w:rsid w:val="00CD208E"/>
    <w:rsid w:val="00CD4048"/>
    <w:rsid w:val="00CE26EC"/>
    <w:rsid w:val="00CE550E"/>
    <w:rsid w:val="00CF15DA"/>
    <w:rsid w:val="00D01404"/>
    <w:rsid w:val="00D054D5"/>
    <w:rsid w:val="00D10BA5"/>
    <w:rsid w:val="00D21B8F"/>
    <w:rsid w:val="00D31195"/>
    <w:rsid w:val="00D31E6E"/>
    <w:rsid w:val="00D36137"/>
    <w:rsid w:val="00D4127B"/>
    <w:rsid w:val="00D60DFC"/>
    <w:rsid w:val="00D613B7"/>
    <w:rsid w:val="00D63257"/>
    <w:rsid w:val="00D6438A"/>
    <w:rsid w:val="00D64728"/>
    <w:rsid w:val="00D70BA4"/>
    <w:rsid w:val="00D837A2"/>
    <w:rsid w:val="00D844C5"/>
    <w:rsid w:val="00D909A9"/>
    <w:rsid w:val="00D95837"/>
    <w:rsid w:val="00DA1EF5"/>
    <w:rsid w:val="00DA3247"/>
    <w:rsid w:val="00DA338E"/>
    <w:rsid w:val="00DA6136"/>
    <w:rsid w:val="00DB137C"/>
    <w:rsid w:val="00DB5D15"/>
    <w:rsid w:val="00DB6AC2"/>
    <w:rsid w:val="00DC058A"/>
    <w:rsid w:val="00DC2032"/>
    <w:rsid w:val="00DC42ED"/>
    <w:rsid w:val="00DC4EB0"/>
    <w:rsid w:val="00DD4D73"/>
    <w:rsid w:val="00DD4DA2"/>
    <w:rsid w:val="00DE3437"/>
    <w:rsid w:val="00DE4094"/>
    <w:rsid w:val="00DE6FF9"/>
    <w:rsid w:val="00DF13C1"/>
    <w:rsid w:val="00DF6102"/>
    <w:rsid w:val="00E03E75"/>
    <w:rsid w:val="00E05237"/>
    <w:rsid w:val="00E1157D"/>
    <w:rsid w:val="00E2665E"/>
    <w:rsid w:val="00E40082"/>
    <w:rsid w:val="00E427CC"/>
    <w:rsid w:val="00E47439"/>
    <w:rsid w:val="00E51F0D"/>
    <w:rsid w:val="00E566D5"/>
    <w:rsid w:val="00E573EB"/>
    <w:rsid w:val="00E61A72"/>
    <w:rsid w:val="00E74CCE"/>
    <w:rsid w:val="00E756D7"/>
    <w:rsid w:val="00E76AB1"/>
    <w:rsid w:val="00E8094D"/>
    <w:rsid w:val="00EA5FCE"/>
    <w:rsid w:val="00EB4593"/>
    <w:rsid w:val="00EB53F4"/>
    <w:rsid w:val="00EB631D"/>
    <w:rsid w:val="00EB7AC3"/>
    <w:rsid w:val="00EC7076"/>
    <w:rsid w:val="00ED60C4"/>
    <w:rsid w:val="00ED70B5"/>
    <w:rsid w:val="00EF20C8"/>
    <w:rsid w:val="00EF40B4"/>
    <w:rsid w:val="00EF6BA9"/>
    <w:rsid w:val="00F04A65"/>
    <w:rsid w:val="00F12968"/>
    <w:rsid w:val="00F13B90"/>
    <w:rsid w:val="00F236BB"/>
    <w:rsid w:val="00F2548E"/>
    <w:rsid w:val="00F30C44"/>
    <w:rsid w:val="00F32A46"/>
    <w:rsid w:val="00F33E48"/>
    <w:rsid w:val="00F40D21"/>
    <w:rsid w:val="00F426FC"/>
    <w:rsid w:val="00F442A0"/>
    <w:rsid w:val="00F44D7F"/>
    <w:rsid w:val="00F46773"/>
    <w:rsid w:val="00F524F0"/>
    <w:rsid w:val="00F56095"/>
    <w:rsid w:val="00F67D62"/>
    <w:rsid w:val="00F86639"/>
    <w:rsid w:val="00F962A4"/>
    <w:rsid w:val="00F971D6"/>
    <w:rsid w:val="00FA75AA"/>
    <w:rsid w:val="00FB3B02"/>
    <w:rsid w:val="00FB69CA"/>
    <w:rsid w:val="00FC11C6"/>
    <w:rsid w:val="00FC11F3"/>
    <w:rsid w:val="00FD5441"/>
    <w:rsid w:val="00FD6B7B"/>
    <w:rsid w:val="00FE053B"/>
    <w:rsid w:val="00FE2827"/>
    <w:rsid w:val="00FE51D8"/>
    <w:rsid w:val="00FE541F"/>
    <w:rsid w:val="00FE7983"/>
    <w:rsid w:val="00FE7CA0"/>
    <w:rsid w:val="00FF0F1F"/>
    <w:rsid w:val="00FF2B55"/>
    <w:rsid w:val="00FF72B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7353E98-1BEA-4079-9E54-C2CC9A57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1F"/>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40063E"/>
    <w:pPr>
      <w:keepNext/>
      <w:widowControl w:val="0"/>
      <w:autoSpaceDE w:val="0"/>
      <w:autoSpaceDN w:val="0"/>
      <w:adjustRightInd w:val="0"/>
      <w:textAlignment w:val="center"/>
    </w:pPr>
    <w:rPr>
      <w:rFonts w:cs="Helvetica-Bold"/>
      <w:b/>
      <w:bCs/>
      <w:color w:val="000000"/>
      <w:sz w:val="32"/>
      <w:szCs w:val="22"/>
      <w:lang w:eastAsia="ja-JP"/>
    </w:rPr>
  </w:style>
  <w:style w:type="paragraph" w:customStyle="1" w:styleId="MainHeader">
    <w:name w:val="Main Header"/>
    <w:basedOn w:val="Normal"/>
    <w:qFormat/>
    <w:rsid w:val="006A2411"/>
    <w:pPr>
      <w:widowControl w:val="0"/>
      <w:autoSpaceDE w:val="0"/>
      <w:autoSpaceDN w:val="0"/>
      <w:adjustRightInd w:val="0"/>
      <w:textAlignment w:val="center"/>
    </w:pPr>
    <w:rPr>
      <w:rFonts w:cs="Helvetica-Bold"/>
      <w:b/>
      <w:bCs/>
      <w:color w:val="000000"/>
      <w:sz w:val="48"/>
      <w:szCs w:val="48"/>
      <w:lang w:eastAsia="ja-JP"/>
    </w:rPr>
  </w:style>
  <w:style w:type="paragraph" w:customStyle="1" w:styleId="MainSubhead">
    <w:name w:val="Main Subhead"/>
    <w:basedOn w:val="Normal"/>
    <w:rsid w:val="00A8069F"/>
    <w:pPr>
      <w:keepNext/>
      <w:widowControl w:val="0"/>
      <w:autoSpaceDE w:val="0"/>
      <w:autoSpaceDN w:val="0"/>
      <w:adjustRightInd w:val="0"/>
      <w:textAlignment w:val="center"/>
    </w:pPr>
    <w:rPr>
      <w:rFonts w:cs="Times-Bold"/>
      <w:b/>
      <w:bCs/>
      <w:color w:val="FF0000"/>
      <w:sz w:val="36"/>
      <w:szCs w:val="36"/>
      <w:lang w:eastAsia="ja-JP"/>
    </w:rPr>
  </w:style>
  <w:style w:type="paragraph" w:customStyle="1" w:styleId="SmallSubhead">
    <w:name w:val="Small Subhead"/>
    <w:basedOn w:val="Normal"/>
    <w:qFormat/>
    <w:rsid w:val="00102066"/>
    <w:pPr>
      <w:keepNext/>
      <w:widowControl w:val="0"/>
      <w:autoSpaceDE w:val="0"/>
      <w:autoSpaceDN w:val="0"/>
      <w:adjustRightInd w:val="0"/>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qFormat/>
    <w:rsid w:val="00434690"/>
    <w:pPr>
      <w:keepNext/>
      <w:widowControl w:val="0"/>
      <w:autoSpaceDE w:val="0"/>
      <w:autoSpaceDN w:val="0"/>
      <w:adjustRightInd w:val="0"/>
      <w:spacing w:after="0" w:line="288" w:lineRule="auto"/>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000495"/>
    <w:pPr>
      <w:ind w:left="180"/>
    </w:pPr>
    <w:rPr>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rsid w:val="00CD4048"/>
    <w:pPr>
      <w:numPr>
        <w:ilvl w:val="1"/>
      </w:numPr>
    </w:pPr>
    <w:rPr>
      <w:rFonts w:asciiTheme="majorHAnsi" w:eastAsiaTheme="majorEastAsia" w:hAnsiTheme="majorHAnsi" w:cstheme="majorBidi"/>
      <w:i/>
      <w:iCs/>
      <w:color w:val="4F81BD" w:themeColor="accent1"/>
      <w:spacing w:val="15"/>
      <w:sz w:val="24"/>
    </w:rPr>
  </w:style>
  <w:style w:type="paragraph" w:customStyle="1" w:styleId="NumberedList">
    <w:name w:val="Numbered List"/>
    <w:basedOn w:val="Normal"/>
    <w:qFormat/>
    <w:rsid w:val="00900AA7"/>
    <w:pPr>
      <w:spacing w:after="0"/>
      <w:ind w:left="533" w:hanging="360"/>
    </w:pPr>
  </w:style>
  <w:style w:type="paragraph" w:customStyle="1" w:styleId="letterlistindented">
    <w:name w:val="letter list indented"/>
    <w:basedOn w:val="Normal"/>
    <w:qFormat/>
    <w:rsid w:val="00162B64"/>
    <w:pPr>
      <w:ind w:left="288" w:hanging="288"/>
    </w:p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BulletReg">
    <w:name w:val="Bullet Reg"/>
    <w:basedOn w:val="BulletBod"/>
    <w:qFormat/>
    <w:rsid w:val="005A6121"/>
    <w:pPr>
      <w:keepNext w:val="0"/>
      <w:spacing w:after="120" w:line="240" w:lineRule="auto"/>
      <w:ind w:left="173" w:hanging="173"/>
      <w:jc w:val="left"/>
    </w:pPr>
    <w:rPr>
      <w:b w:val="0"/>
      <w:szCs w:val="22"/>
    </w:rPr>
  </w:style>
  <w:style w:type="paragraph" w:customStyle="1" w:styleId="Bodynospace">
    <w:name w:val="Body nospace"/>
    <w:basedOn w:val="Normal"/>
    <w:rsid w:val="00682992"/>
    <w:pPr>
      <w:spacing w:after="0"/>
    </w:pPr>
  </w:style>
  <w:style w:type="paragraph" w:customStyle="1" w:styleId="BulletRegnospace">
    <w:name w:val="Bullet Reg nospace"/>
    <w:basedOn w:val="BulletReg"/>
    <w:qFormat/>
    <w:rsid w:val="00355F8D"/>
    <w:pPr>
      <w:spacing w:after="0"/>
      <w:ind w:left="187" w:hanging="187"/>
    </w:pPr>
  </w:style>
  <w:style w:type="paragraph" w:styleId="NoSpacing">
    <w:name w:val="No Spacing"/>
    <w:uiPriority w:val="1"/>
    <w:rsid w:val="006E35C9"/>
    <w:pPr>
      <w:keepLines/>
      <w:suppressAutoHyphens/>
    </w:pPr>
    <w:rPr>
      <w:rFonts w:ascii="Calibri" w:hAnsi="Calibri"/>
      <w:sz w:val="22"/>
      <w:szCs w:val="24"/>
      <w:lang w:eastAsia="en-US"/>
    </w:rPr>
  </w:style>
  <w:style w:type="paragraph" w:customStyle="1" w:styleId="SmallerSubhead">
    <w:name w:val="Smaller Subhead"/>
    <w:basedOn w:val="SmallSubhead"/>
    <w:qFormat/>
    <w:rsid w:val="007260C3"/>
    <w:pPr>
      <w:spacing w:after="0"/>
    </w:pPr>
    <w:rPr>
      <w:sz w:val="24"/>
      <w:szCs w:val="24"/>
    </w:rPr>
  </w:style>
  <w:style w:type="paragraph" w:customStyle="1" w:styleId="NormalItalicInd">
    <w:name w:val="Normal Italic Ind"/>
    <w:basedOn w:val="Normal"/>
    <w:qFormat/>
    <w:rsid w:val="009B2A34"/>
    <w:pPr>
      <w:ind w:left="360"/>
    </w:pPr>
    <w:rPr>
      <w:i/>
      <w:iCs/>
      <w:szCs w:val="22"/>
    </w:rPr>
  </w:style>
  <w:style w:type="paragraph" w:customStyle="1" w:styleId="Footnote">
    <w:name w:val="Footnote"/>
    <w:basedOn w:val="Normal"/>
    <w:qFormat/>
    <w:rsid w:val="00B55D1F"/>
    <w:pPr>
      <w:pBdr>
        <w:top w:val="single" w:sz="4" w:space="1" w:color="auto"/>
      </w:pBdr>
    </w:pPr>
    <w:rPr>
      <w:sz w:val="18"/>
      <w:szCs w:val="18"/>
    </w:rPr>
  </w:style>
  <w:style w:type="character" w:customStyle="1" w:styleId="Bold-Red-11">
    <w:name w:val="Bold-Red-11"/>
    <w:basedOn w:val="DefaultParagraphFont"/>
    <w:uiPriority w:val="1"/>
    <w:rsid w:val="00562BB9"/>
    <w:rPr>
      <w:rFonts w:ascii="Calibri" w:hAnsi="Calibri"/>
      <w:b/>
      <w:bCs/>
      <w:i w:val="0"/>
      <w:iCs w:val="0"/>
      <w:color w:val="FF0000"/>
      <w:sz w:val="22"/>
      <w:szCs w:val="22"/>
    </w:rPr>
  </w:style>
  <w:style w:type="paragraph" w:customStyle="1" w:styleId="NOTE">
    <w:name w:val="NOTE"/>
    <w:basedOn w:val="Normal"/>
    <w:qFormat/>
    <w:rsid w:val="00BC4C2A"/>
    <w:pPr>
      <w:ind w:left="619" w:hanging="619"/>
    </w:pPr>
    <w:rPr>
      <w:szCs w:val="22"/>
    </w:rPr>
  </w:style>
  <w:style w:type="paragraph" w:customStyle="1" w:styleId="REDSUB">
    <w:name w:val="RED SUB"/>
    <w:basedOn w:val="SmallerSubhead"/>
    <w:rsid w:val="002D3F1C"/>
    <w:rPr>
      <w:color w:val="FF0000"/>
      <w:sz w:val="28"/>
      <w:szCs w:val="28"/>
    </w:rPr>
  </w:style>
  <w:style w:type="paragraph" w:styleId="BalloonText">
    <w:name w:val="Balloon Text"/>
    <w:basedOn w:val="Normal"/>
    <w:link w:val="BalloonTextChar"/>
    <w:uiPriority w:val="99"/>
    <w:semiHidden/>
    <w:unhideWhenUsed/>
    <w:rsid w:val="00D837A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7A2"/>
    <w:rPr>
      <w:rFonts w:ascii="Lucida Grande" w:hAnsi="Lucida Grande" w:cs="Lucida Grande"/>
      <w:sz w:val="18"/>
      <w:szCs w:val="18"/>
      <w:lang w:eastAsia="en-US"/>
    </w:rPr>
  </w:style>
  <w:style w:type="paragraph" w:customStyle="1" w:styleId="Notenumber">
    <w:name w:val="Note number"/>
    <w:basedOn w:val="NOTE"/>
    <w:qFormat/>
    <w:rsid w:val="00F426FC"/>
    <w:pPr>
      <w:ind w:left="720" w:hanging="720"/>
    </w:pPr>
  </w:style>
  <w:style w:type="paragraph" w:customStyle="1" w:styleId="LtrList2ndlev">
    <w:name w:val="Ltr List 2nd lev"/>
    <w:basedOn w:val="letterlistindented"/>
    <w:qFormat/>
    <w:rsid w:val="00274424"/>
    <w:pPr>
      <w:ind w:left="763" w:hanging="403"/>
    </w:pPr>
  </w:style>
  <w:style w:type="paragraph" w:customStyle="1" w:styleId="LtrInd3rdLev">
    <w:name w:val="Ltr Ind 3rd Lev"/>
    <w:basedOn w:val="Normal"/>
    <w:qFormat/>
    <w:rsid w:val="00D6438A"/>
    <w:pPr>
      <w:ind w:left="1195" w:hanging="432"/>
    </w:pPr>
  </w:style>
  <w:style w:type="paragraph" w:customStyle="1" w:styleId="RedBoxedText">
    <w:name w:val="Red Boxed Text"/>
    <w:basedOn w:val="Normal"/>
    <w:rsid w:val="000E264D"/>
    <w:pPr>
      <w:pBdr>
        <w:top w:val="single" w:sz="4" w:space="4" w:color="FF0000"/>
        <w:left w:val="single" w:sz="4" w:space="4" w:color="FF0000"/>
        <w:bottom w:val="single" w:sz="4" w:space="5" w:color="FF0000"/>
        <w:right w:val="single" w:sz="4" w:space="4" w:color="FF0000"/>
      </w:pBdr>
    </w:pPr>
    <w:rPr>
      <w:lang w:eastAsia="ja-JP"/>
    </w:rPr>
  </w:style>
  <w:style w:type="character" w:customStyle="1" w:styleId="BodyItalic">
    <w:name w:val="Body Italic"/>
    <w:basedOn w:val="DefaultParagraphFont"/>
    <w:uiPriority w:val="1"/>
    <w:qFormat/>
    <w:rsid w:val="00912FFE"/>
    <w:rPr>
      <w:rFonts w:ascii="Calibri" w:hAnsi="Calibri"/>
      <w:b w:val="0"/>
      <w:bCs w:val="0"/>
      <w:i/>
      <w:iCs/>
      <w:color w:val="000000" w:themeColor="text1"/>
      <w:sz w:val="22"/>
      <w:szCs w:val="22"/>
    </w:rPr>
  </w:style>
  <w:style w:type="paragraph" w:customStyle="1" w:styleId="SmallerSubspace">
    <w:name w:val="Smaller Sub space"/>
    <w:basedOn w:val="SmallerSubhead"/>
    <w:qFormat/>
    <w:rsid w:val="00912FFE"/>
    <w:pPr>
      <w:spacing w:after="120"/>
    </w:pPr>
  </w:style>
  <w:style w:type="paragraph" w:customStyle="1" w:styleId="REDSubspace">
    <w:name w:val="RED Sub space"/>
    <w:basedOn w:val="Subhead"/>
    <w:qFormat/>
    <w:rsid w:val="00912FFE"/>
    <w:pPr>
      <w:spacing w:after="240"/>
    </w:pPr>
  </w:style>
  <w:style w:type="paragraph" w:customStyle="1" w:styleId="REDSUBSpace0">
    <w:name w:val="RED SUB Space"/>
    <w:basedOn w:val="REDSUB"/>
    <w:rsid w:val="00AF7D14"/>
    <w:pPr>
      <w:spacing w:before="240" w:after="120"/>
    </w:pPr>
  </w:style>
  <w:style w:type="paragraph" w:customStyle="1" w:styleId="Appendix10">
    <w:name w:val="Appendix 10"/>
    <w:basedOn w:val="Normal"/>
    <w:qFormat/>
    <w:rsid w:val="00816D80"/>
    <w:pPr>
      <w:spacing w:after="60"/>
      <w:ind w:left="1728" w:hanging="1728"/>
    </w:pPr>
  </w:style>
  <w:style w:type="paragraph" w:customStyle="1" w:styleId="ItalicIndent">
    <w:name w:val="Italic Indent"/>
    <w:basedOn w:val="Normal"/>
    <w:qFormat/>
    <w:rsid w:val="00405372"/>
    <w:pPr>
      <w:ind w:left="360"/>
    </w:pPr>
    <w:rPr>
      <w:i/>
    </w:rPr>
  </w:style>
  <w:style w:type="paragraph" w:customStyle="1" w:styleId="LetterListSecond">
    <w:name w:val="Letter List Second"/>
    <w:basedOn w:val="LtrList2ndlev"/>
    <w:qFormat/>
    <w:rsid w:val="005222BA"/>
    <w:pPr>
      <w:spacing w:after="0"/>
      <w:ind w:left="821" w:hanging="288"/>
    </w:pPr>
  </w:style>
  <w:style w:type="paragraph" w:customStyle="1" w:styleId="Style1">
    <w:name w:val="Style1"/>
    <w:basedOn w:val="NumberedList"/>
    <w:qFormat/>
    <w:rsid w:val="007945BA"/>
    <w:pPr>
      <w:numPr>
        <w:numId w:val="2"/>
      </w:numPr>
    </w:pPr>
  </w:style>
  <w:style w:type="paragraph" w:customStyle="1" w:styleId="SmallerSubHanging">
    <w:name w:val="Smaller Sub Hanging"/>
    <w:basedOn w:val="SmallerSubhead"/>
    <w:qFormat/>
    <w:rsid w:val="003868E0"/>
    <w:pPr>
      <w:spacing w:after="180"/>
      <w:ind w:left="360" w:hanging="360"/>
    </w:pPr>
  </w:style>
  <w:style w:type="paragraph" w:customStyle="1" w:styleId="LetterListHanging">
    <w:name w:val="Letter List Hanging"/>
    <w:basedOn w:val="NumberedList"/>
    <w:qFormat/>
    <w:rsid w:val="003868E0"/>
    <w:pPr>
      <w:spacing w:after="180"/>
      <w:ind w:left="360"/>
    </w:pPr>
  </w:style>
  <w:style w:type="paragraph" w:styleId="ListParagraph">
    <w:name w:val="List Paragraph"/>
    <w:basedOn w:val="Normal"/>
    <w:uiPriority w:val="34"/>
    <w:rsid w:val="00EB4593"/>
    <w:pPr>
      <w:ind w:left="720"/>
      <w:contextualSpacing/>
    </w:pPr>
  </w:style>
  <w:style w:type="paragraph" w:customStyle="1" w:styleId="Numberlistdouble">
    <w:name w:val="Number list double"/>
    <w:basedOn w:val="LetterListHanging"/>
    <w:qFormat/>
    <w:rsid w:val="00803F3B"/>
    <w:pPr>
      <w:ind w:left="504" w:hanging="504"/>
    </w:pPr>
  </w:style>
  <w:style w:type="paragraph" w:customStyle="1" w:styleId="NumList3">
    <w:name w:val="NumList_3"/>
    <w:basedOn w:val="NumberedList"/>
    <w:qFormat/>
    <w:rsid w:val="00AF45E8"/>
    <w:pPr>
      <w:ind w:left="360"/>
    </w:pPr>
  </w:style>
  <w:style w:type="paragraph" w:customStyle="1" w:styleId="NormBoldNoSpace">
    <w:name w:val="Norm Bold NoSpace"/>
    <w:basedOn w:val="Normal"/>
    <w:qFormat/>
    <w:rsid w:val="00E76AB1"/>
    <w:pPr>
      <w:keepNext/>
      <w:spacing w:after="0"/>
    </w:pPr>
    <w:rPr>
      <w:b/>
    </w:rPr>
  </w:style>
  <w:style w:type="paragraph" w:customStyle="1" w:styleId="LetterList3">
    <w:name w:val="LetterList_3"/>
    <w:basedOn w:val="LtrList2ndlev"/>
    <w:qFormat/>
    <w:rsid w:val="00AF45E8"/>
    <w:pPr>
      <w:spacing w:after="0"/>
    </w:pPr>
  </w:style>
  <w:style w:type="paragraph" w:customStyle="1" w:styleId="Proceedings">
    <w:name w:val="Proceedings"/>
    <w:basedOn w:val="Normal"/>
    <w:qFormat/>
    <w:rsid w:val="00106A34"/>
    <w:pPr>
      <w:tabs>
        <w:tab w:val="left" w:pos="5940"/>
      </w:tabs>
      <w:ind w:left="5947" w:hanging="5947"/>
    </w:pPr>
    <w:rPr>
      <w:szCs w:val="22"/>
    </w:rPr>
  </w:style>
  <w:style w:type="character" w:customStyle="1" w:styleId="CaseBold">
    <w:name w:val="Case Bold"/>
    <w:basedOn w:val="DefaultParagraphFont"/>
    <w:uiPriority w:val="1"/>
    <w:qFormat/>
    <w:rsid w:val="007C3389"/>
    <w:rPr>
      <w:b/>
      <w:sz w:val="26"/>
      <w:szCs w:val="26"/>
    </w:rPr>
  </w:style>
  <w:style w:type="character" w:styleId="Strong">
    <w:name w:val="Strong"/>
    <w:uiPriority w:val="22"/>
    <w:qFormat/>
    <w:rsid w:val="00245833"/>
    <w:rPr>
      <w:b/>
      <w:bCs/>
    </w:rPr>
  </w:style>
  <w:style w:type="paragraph" w:styleId="Title">
    <w:name w:val="Title"/>
    <w:basedOn w:val="Normal"/>
    <w:next w:val="Normal"/>
    <w:link w:val="TitleChar"/>
    <w:uiPriority w:val="10"/>
    <w:qFormat/>
    <w:rsid w:val="00245833"/>
    <w:pPr>
      <w:keepLines w:val="0"/>
      <w:suppressAutoHyphens w:val="0"/>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245833"/>
    <w:rPr>
      <w:rFonts w:ascii="Cambria" w:eastAsia="Times New Roman" w:hAnsi="Cambria"/>
      <w:b/>
      <w:bCs/>
      <w:kern w:val="28"/>
      <w:sz w:val="32"/>
      <w:szCs w:val="32"/>
      <w:lang w:eastAsia="en-US"/>
    </w:rPr>
  </w:style>
  <w:style w:type="table" w:styleId="TableGrid">
    <w:name w:val="Table Grid"/>
    <w:basedOn w:val="TableNormal"/>
    <w:uiPriority w:val="59"/>
    <w:rsid w:val="00670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ldText">
    <w:name w:val="Table Bold Text"/>
    <w:basedOn w:val="Normal"/>
    <w:qFormat/>
    <w:rsid w:val="00BB4726"/>
    <w:pPr>
      <w:spacing w:before="120" w:after="120"/>
    </w:pPr>
    <w:rPr>
      <w:b/>
    </w:rPr>
  </w:style>
  <w:style w:type="paragraph" w:customStyle="1" w:styleId="TableTextRegular">
    <w:name w:val="Table Text Regular"/>
    <w:basedOn w:val="Normal"/>
    <w:qFormat/>
    <w:rsid w:val="00BB4726"/>
    <w:pPr>
      <w:spacing w:before="120" w:after="120"/>
    </w:pPr>
  </w:style>
  <w:style w:type="paragraph" w:customStyle="1" w:styleId="TableHeader">
    <w:name w:val="Table Header"/>
    <w:basedOn w:val="SmallSubhead"/>
    <w:qFormat/>
    <w:rsid w:val="00BB4726"/>
    <w:pPr>
      <w:tabs>
        <w:tab w:val="left" w:pos="360"/>
        <w:tab w:val="center" w:pos="5041"/>
      </w:tabs>
      <w:spacing w:before="120" w:after="120"/>
      <w:jc w:val="center"/>
    </w:pPr>
  </w:style>
  <w:style w:type="paragraph" w:customStyle="1" w:styleId="TableBoxHeader">
    <w:name w:val="Table Box Header"/>
    <w:basedOn w:val="Normal"/>
    <w:qFormat/>
    <w:rsid w:val="00BB4726"/>
    <w:pPr>
      <w:spacing w:before="120" w:after="120"/>
      <w:jc w:val="center"/>
    </w:pPr>
  </w:style>
  <w:style w:type="character" w:customStyle="1" w:styleId="apple-converted-space">
    <w:name w:val="apple-converted-space"/>
    <w:basedOn w:val="DefaultParagraphFont"/>
    <w:rsid w:val="0063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DD3AF-D987-4090-8508-0140BF6A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Weeya Young</cp:lastModifiedBy>
  <cp:revision>2</cp:revision>
  <cp:lastPrinted>2017-02-17T16:10:00Z</cp:lastPrinted>
  <dcterms:created xsi:type="dcterms:W3CDTF">2018-01-19T22:46:00Z</dcterms:created>
  <dcterms:modified xsi:type="dcterms:W3CDTF">2018-01-19T22:46:00Z</dcterms:modified>
</cp:coreProperties>
</file>